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5463B8" w14:paraId="131B86C3" w14:textId="77777777" w:rsidTr="0065032A">
        <w:trPr>
          <w:trHeight w:val="652"/>
          <w:jc w:val="center"/>
        </w:trPr>
        <w:tc>
          <w:tcPr>
            <w:tcW w:w="3335" w:type="dxa"/>
            <w:tcBorders>
              <w:right w:val="single" w:sz="4" w:space="0" w:color="44546A" w:themeColor="text2"/>
            </w:tcBorders>
            <w:shd w:val="clear" w:color="auto" w:fill="1F3864" w:themeFill="accent1" w:themeFillShade="80"/>
          </w:tcPr>
          <w:p w14:paraId="7834332A" w14:textId="77777777" w:rsidR="00034A43" w:rsidRDefault="00034A43" w:rsidP="00034A43">
            <w:pPr>
              <w:jc w:val="center"/>
              <w:rPr>
                <w:rFonts w:cs="Arial"/>
                <w:color w:val="FFFFFF" w:themeColor="background1"/>
                <w:sz w:val="32"/>
                <w:szCs w:val="32"/>
                <w:shd w:val="clear" w:color="auto" w:fill="1F3864" w:themeFill="accent1" w:themeFillShade="80"/>
                <w:lang w:val="en-US"/>
              </w:rPr>
            </w:pPr>
          </w:p>
          <w:p w14:paraId="549270CD" w14:textId="0C10B674" w:rsidR="00034A43" w:rsidRPr="00906B87" w:rsidRDefault="00034A43" w:rsidP="00034A43">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2C0C3A0F" w:rsidR="00742FA8" w:rsidRDefault="00742FA8" w:rsidP="00034A43">
            <w:pPr>
              <w:jc w:val="cente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2975F1C0" w14:textId="77777777" w:rsidR="00034A43" w:rsidRDefault="00034A43" w:rsidP="00034A43">
            <w:pPr>
              <w:jc w:val="center"/>
              <w:rPr>
                <w:rFonts w:cs="Arial"/>
                <w:color w:val="FFFFFF" w:themeColor="background1"/>
                <w:sz w:val="32"/>
                <w:szCs w:val="32"/>
                <w:shd w:val="clear" w:color="auto" w:fill="1F3864" w:themeFill="accent1" w:themeFillShade="80"/>
                <w:lang w:val="en-US"/>
              </w:rPr>
            </w:pPr>
          </w:p>
          <w:p w14:paraId="6B26AC0C" w14:textId="17CEDC3F" w:rsidR="00742FA8" w:rsidRDefault="00034A43" w:rsidP="00034A43">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D244F7">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9E7CFA" w14:paraId="425D15D4" w14:textId="77777777" w:rsidTr="0065032A">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034A43" w:rsidRDefault="005728A3" w:rsidP="005728A3">
            <w:pPr>
              <w:jc w:val="right"/>
              <w:rPr>
                <w:rFonts w:cstheme="minorHAnsi"/>
                <w:b/>
                <w:bCs/>
                <w:color w:val="002060"/>
                <w:sz w:val="28"/>
                <w:szCs w:val="28"/>
                <w:lang w:val="en-US"/>
              </w:rPr>
            </w:pPr>
            <w:r w:rsidRPr="00034A43">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65032A">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9DAAADC" w:rsidR="006D3771" w:rsidRPr="006D3771" w:rsidRDefault="007D198D" w:rsidP="006D3771">
            <w:pPr>
              <w:jc w:val="center"/>
              <w:rPr>
                <w:sz w:val="32"/>
                <w:szCs w:val="32"/>
                <w:lang w:val="en-US"/>
              </w:rPr>
            </w:pPr>
            <w:r>
              <w:rPr>
                <w:sz w:val="32"/>
                <w:szCs w:val="32"/>
                <w:lang w:val="en-US"/>
              </w:rPr>
              <w:t>C</w:t>
            </w:r>
            <w:r w:rsidR="00CF1C6F">
              <w:rPr>
                <w:sz w:val="32"/>
                <w:szCs w:val="32"/>
                <w:lang w:val="en-US"/>
              </w:rPr>
              <w:t>yprus</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Default="001D0AE0" w:rsidP="00857FF1">
      <w:pPr>
        <w:pStyle w:val="Default"/>
        <w:rPr>
          <w:color w:val="auto"/>
          <w:sz w:val="22"/>
          <w:szCs w:val="22"/>
          <w:lang w:val="en-US"/>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Default="001D0AE0" w:rsidP="00857FF1">
      <w:pPr>
        <w:pStyle w:val="Default"/>
        <w:rPr>
          <w:color w:val="auto"/>
          <w:sz w:val="22"/>
          <w:szCs w:val="22"/>
          <w:lang w:val="en-US"/>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Default="001D0AE0" w:rsidP="00857FF1">
      <w:pPr>
        <w:pStyle w:val="Default"/>
        <w:rPr>
          <w:color w:val="auto"/>
          <w:sz w:val="22"/>
          <w:szCs w:val="22"/>
          <w:lang w:val="en-US"/>
        </w:rPr>
      </w:pPr>
    </w:p>
    <w:p w14:paraId="7EA2943D" w14:textId="116947ED" w:rsidR="001D0AE0" w:rsidRDefault="001D0AE0" w:rsidP="00857FF1">
      <w:pPr>
        <w:pStyle w:val="Default"/>
        <w:rPr>
          <w:color w:val="auto"/>
          <w:sz w:val="22"/>
          <w:szCs w:val="22"/>
          <w:lang w:val="en-US"/>
        </w:rPr>
      </w:pPr>
    </w:p>
    <w:p w14:paraId="0EF8FC95" w14:textId="15DB24EA" w:rsidR="001D0AE0" w:rsidRDefault="001D0AE0" w:rsidP="00857FF1">
      <w:pPr>
        <w:pStyle w:val="Default"/>
        <w:rPr>
          <w:color w:val="auto"/>
          <w:sz w:val="22"/>
          <w:szCs w:val="22"/>
          <w:lang w:val="en-GB"/>
        </w:rPr>
      </w:pPr>
    </w:p>
    <w:p w14:paraId="1323F542" w14:textId="77777777" w:rsidR="00D82604" w:rsidRPr="00CF1C6F" w:rsidRDefault="00D82604"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5303A1FB" w:rsidR="004A628B" w:rsidRDefault="004A628B" w:rsidP="004A628B">
      <w:pPr>
        <w:pStyle w:val="Default"/>
        <w:ind w:left="1080"/>
        <w:rPr>
          <w:color w:val="auto"/>
          <w:sz w:val="22"/>
          <w:szCs w:val="22"/>
          <w:lang w:val="en-US"/>
        </w:rPr>
      </w:pPr>
    </w:p>
    <w:p w14:paraId="4F934551" w14:textId="77777777" w:rsidR="009E7CFA" w:rsidRDefault="009E7CFA" w:rsidP="009E7CFA">
      <w:pPr>
        <w:rPr>
          <w:lang w:val="en-US"/>
        </w:rPr>
      </w:pPr>
    </w:p>
    <w:p w14:paraId="5FD71F32" w14:textId="77777777" w:rsidR="009E7CFA" w:rsidRPr="009E7CFA" w:rsidRDefault="009E7CFA" w:rsidP="009E7CFA">
      <w:pPr>
        <w:rPr>
          <w:rFonts w:cstheme="minorHAnsi"/>
          <w:highlight w:val="yellow"/>
          <w:lang w:val="en-GB"/>
        </w:rPr>
      </w:pPr>
      <w:r w:rsidRPr="009E7CFA">
        <w:rPr>
          <w:rFonts w:cstheme="minorHAnsi"/>
          <w:highlight w:val="yellow"/>
          <w:lang w:val="en-GB"/>
        </w:rPr>
        <w:t xml:space="preserve">CEPEJ </w:t>
      </w:r>
    </w:p>
    <w:p w14:paraId="5D52F426" w14:textId="77777777" w:rsidR="009E7CFA" w:rsidRPr="009E7CFA" w:rsidRDefault="009E7CFA" w:rsidP="009E7CFA">
      <w:pPr>
        <w:pStyle w:val="Default"/>
        <w:jc w:val="both"/>
        <w:rPr>
          <w:rFonts w:asciiTheme="minorHAnsi" w:hAnsiTheme="minorHAnsi" w:cstheme="minorHAnsi"/>
          <w:color w:val="auto"/>
          <w:sz w:val="20"/>
          <w:szCs w:val="20"/>
          <w:highlight w:val="yellow"/>
          <w:lang w:val="en-US"/>
        </w:rPr>
      </w:pPr>
      <w:r w:rsidRPr="009E7CFA">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w:t>
      </w:r>
      <w:proofErr w:type="gramStart"/>
      <w:r w:rsidRPr="009E7CFA">
        <w:rPr>
          <w:rFonts w:asciiTheme="minorHAnsi" w:hAnsiTheme="minorHAnsi" w:cstheme="minorHAnsi"/>
          <w:color w:val="auto"/>
          <w:sz w:val="20"/>
          <w:szCs w:val="20"/>
          <w:highlight w:val="yellow"/>
          <w:lang w:val="en-US"/>
        </w:rPr>
        <w:t>in particular the</w:t>
      </w:r>
      <w:proofErr w:type="gramEnd"/>
      <w:r w:rsidRPr="009E7CFA">
        <w:rPr>
          <w:rFonts w:asciiTheme="minorHAnsi" w:hAnsiTheme="minorHAnsi" w:cstheme="minorHAnsi"/>
          <w:color w:val="auto"/>
          <w:sz w:val="20"/>
          <w:szCs w:val="20"/>
          <w:highlight w:val="yellow"/>
          <w:lang w:val="en-US"/>
        </w:rPr>
        <w:t xml:space="preserve"> “quality of justice” (B part below), “efficiency of justice systems” (C part below) and also some aspects of “independence” (A part below). </w:t>
      </w:r>
    </w:p>
    <w:p w14:paraId="526D3197" w14:textId="77777777" w:rsidR="009E7CFA" w:rsidRPr="009E7CFA" w:rsidRDefault="009E7CFA" w:rsidP="009E7CFA">
      <w:pPr>
        <w:pStyle w:val="NormalWeb"/>
        <w:jc w:val="both"/>
        <w:rPr>
          <w:rFonts w:asciiTheme="minorHAnsi" w:hAnsiTheme="minorHAnsi" w:cstheme="minorHAnsi"/>
          <w:i w:val="0"/>
          <w:iCs w:val="0"/>
          <w:sz w:val="20"/>
          <w:szCs w:val="20"/>
          <w:highlight w:val="yellow"/>
          <w:lang w:val="en-GB"/>
        </w:rPr>
      </w:pPr>
      <w:r w:rsidRPr="009E7CFA">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9E7CFA">
          <w:rPr>
            <w:rStyle w:val="Hyperlink"/>
            <w:rFonts w:asciiTheme="minorHAnsi" w:eastAsiaTheme="majorEastAsia" w:hAnsiTheme="minorHAnsi" w:cstheme="minorHAnsi"/>
            <w:i w:val="0"/>
            <w:iCs w:val="0"/>
            <w:sz w:val="20"/>
            <w:szCs w:val="20"/>
            <w:highlight w:val="yellow"/>
            <w:u w:val="none"/>
            <w:lang w:val="en-GB"/>
          </w:rPr>
          <w:t>CEPEJ Country profile Cyprus Scoreboard</w:t>
        </w:r>
      </w:hyperlink>
      <w:r w:rsidRPr="009E7CFA">
        <w:rPr>
          <w:rFonts w:asciiTheme="minorHAnsi" w:hAnsiTheme="minorHAnsi" w:cstheme="minorHAnsi"/>
          <w:i w:val="0"/>
          <w:iCs w:val="0"/>
          <w:sz w:val="20"/>
          <w:szCs w:val="20"/>
          <w:highlight w:val="yellow"/>
          <w:lang w:val="en-GB"/>
        </w:rPr>
        <w:t>.</w:t>
      </w:r>
    </w:p>
    <w:p w14:paraId="42145B40" w14:textId="77777777" w:rsidR="009E7CFA" w:rsidRPr="009E7CFA" w:rsidRDefault="009E7CFA" w:rsidP="009E7CFA">
      <w:pPr>
        <w:pStyle w:val="Default"/>
        <w:jc w:val="both"/>
        <w:rPr>
          <w:rFonts w:asciiTheme="minorHAnsi" w:hAnsiTheme="minorHAnsi" w:cstheme="minorHAnsi"/>
          <w:color w:val="auto"/>
          <w:sz w:val="20"/>
          <w:szCs w:val="20"/>
          <w:lang w:val="en-US"/>
        </w:rPr>
      </w:pPr>
      <w:r w:rsidRPr="009E7CFA">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9E7CFA">
          <w:rPr>
            <w:rStyle w:val="Hyperlink"/>
            <w:rFonts w:asciiTheme="minorHAnsi" w:hAnsiTheme="minorHAnsi" w:cstheme="minorHAnsi"/>
            <w:sz w:val="20"/>
            <w:szCs w:val="20"/>
            <w:highlight w:val="yellow"/>
            <w:u w:val="none"/>
            <w:lang w:val="en-US"/>
          </w:rPr>
          <w:t>christel.schurrer@coe.int</w:t>
        </w:r>
      </w:hyperlink>
      <w:r w:rsidRPr="009E7CFA">
        <w:rPr>
          <w:rFonts w:asciiTheme="minorHAnsi" w:hAnsiTheme="minorHAnsi" w:cstheme="minorHAnsi"/>
          <w:color w:val="auto"/>
          <w:sz w:val="20"/>
          <w:szCs w:val="20"/>
          <w:highlight w:val="yellow"/>
          <w:lang w:val="en-US"/>
        </w:rPr>
        <w:t>)  remains at the disposal of European Commission for any question related to these data.</w:t>
      </w:r>
      <w:r w:rsidRPr="009E7CFA">
        <w:rPr>
          <w:rFonts w:asciiTheme="minorHAnsi" w:hAnsiTheme="minorHAnsi" w:cstheme="minorHAnsi"/>
          <w:color w:val="auto"/>
          <w:sz w:val="20"/>
          <w:szCs w:val="20"/>
          <w:lang w:val="en-US"/>
        </w:rPr>
        <w:t xml:space="preserve">  </w:t>
      </w:r>
    </w:p>
    <w:p w14:paraId="7C060228" w14:textId="105AEBF9" w:rsidR="009E7CFA" w:rsidRDefault="009E7CFA" w:rsidP="009E7CFA">
      <w:pPr>
        <w:pStyle w:val="Default"/>
        <w:rPr>
          <w:color w:val="auto"/>
          <w:sz w:val="22"/>
          <w:szCs w:val="22"/>
          <w:lang w:val="en-US"/>
        </w:rPr>
      </w:pPr>
    </w:p>
    <w:p w14:paraId="0B1B755E" w14:textId="77777777" w:rsidR="009E7CFA" w:rsidRPr="00546B57" w:rsidRDefault="009E7CFA" w:rsidP="004A628B">
      <w:pPr>
        <w:pStyle w:val="Default"/>
        <w:ind w:left="1080"/>
        <w:rPr>
          <w:color w:val="auto"/>
          <w:sz w:val="22"/>
          <w:szCs w:val="22"/>
          <w:lang w:val="en-US"/>
        </w:rPr>
      </w:pPr>
    </w:p>
    <w:p w14:paraId="5396E424" w14:textId="7FB8B2E9"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6BB4A255" w14:textId="58AAAF13" w:rsidR="00CF10CE" w:rsidRDefault="00CF10CE" w:rsidP="00CF10CE">
      <w:pPr>
        <w:rPr>
          <w:lang w:val="en-US"/>
        </w:rPr>
      </w:pPr>
    </w:p>
    <w:p w14:paraId="117E8949" w14:textId="77777777" w:rsidR="00AA7781" w:rsidRDefault="00AA7781" w:rsidP="00AA7781">
      <w:pPr>
        <w:rPr>
          <w:highlight w:val="yellow"/>
          <w:lang w:val="en-US"/>
        </w:rPr>
      </w:pPr>
      <w:r>
        <w:rPr>
          <w:highlight w:val="yellow"/>
          <w:lang w:val="en-US"/>
        </w:rPr>
        <w:t>The European Commission for Democracy through Law – Venice Commission</w:t>
      </w:r>
    </w:p>
    <w:p w14:paraId="636255CE" w14:textId="69C76CD9" w:rsidR="00976132" w:rsidRPr="00976132" w:rsidRDefault="00976132" w:rsidP="00976132">
      <w:pPr>
        <w:rPr>
          <w:rStyle w:val="Hyperlink"/>
          <w:lang w:val="en-US" w:eastAsia="fr-FR"/>
        </w:rPr>
      </w:pPr>
      <w:r w:rsidRPr="000D4782">
        <w:rPr>
          <w:highlight w:val="yellow"/>
          <w:lang w:val="en-GB"/>
        </w:rPr>
        <w:t xml:space="preserve">CDL-AD(2021)043 </w:t>
      </w:r>
      <w:hyperlink r:id="rId11" w:history="1">
        <w:r w:rsidRPr="000D4782">
          <w:rPr>
            <w:rStyle w:val="Hyperlink"/>
            <w:highlight w:val="yellow"/>
            <w:lang w:val="en-US" w:eastAsia="fr-FR"/>
          </w:rPr>
          <w:t>Cyprus - Opinion on three Bills reforming the Judiciary, adopted by the Venice Commission at its 129th Plenary session (10-11 December 2021, Venice and online)</w:t>
        </w:r>
      </w:hyperlink>
      <w:r w:rsidRPr="00976132">
        <w:rPr>
          <w:rStyle w:val="Hyperlink"/>
          <w:lang w:val="en-US" w:eastAsia="fr-FR"/>
        </w:rPr>
        <w:t> </w:t>
      </w:r>
    </w:p>
    <w:p w14:paraId="270B5D0C" w14:textId="79FD5379" w:rsidR="00976132" w:rsidRPr="00976132" w:rsidRDefault="00976132" w:rsidP="00CF10CE">
      <w:pPr>
        <w:rPr>
          <w:lang w:val="en-GB"/>
        </w:rPr>
      </w:pPr>
    </w:p>
    <w:p w14:paraId="0678390E" w14:textId="4D31775F" w:rsidR="00976132" w:rsidRDefault="00976132" w:rsidP="00CF10CE">
      <w:pPr>
        <w:rPr>
          <w:lang w:val="en-US"/>
        </w:rPr>
      </w:pPr>
    </w:p>
    <w:p w14:paraId="7DBD5492" w14:textId="77777777" w:rsidR="00976132" w:rsidRDefault="00976132" w:rsidP="00CF10CE">
      <w:pPr>
        <w:rPr>
          <w:lang w:val="en-US"/>
        </w:rPr>
      </w:pPr>
    </w:p>
    <w:p w14:paraId="4939D008" w14:textId="77777777" w:rsidR="00CF10CE" w:rsidRPr="00F80B1E" w:rsidRDefault="00CF10CE" w:rsidP="00CF10CE">
      <w:pPr>
        <w:rPr>
          <w:lang w:val="en-GB"/>
        </w:rPr>
      </w:pPr>
      <w:r w:rsidRPr="00F80B1E">
        <w:rPr>
          <w:lang w:val="en-GB"/>
        </w:rPr>
        <w:t xml:space="preserve">CEPEJ </w:t>
      </w:r>
    </w:p>
    <w:p w14:paraId="63089129" w14:textId="77777777" w:rsidR="00CF10CE" w:rsidRPr="00F80B1E" w:rsidRDefault="00CF10CE" w:rsidP="00CF10CE">
      <w:pPr>
        <w:rPr>
          <w:color w:val="0563C1"/>
          <w:u w:val="single"/>
          <w:lang w:val="en-GB" w:eastAsia="fr-FR"/>
        </w:rPr>
      </w:pPr>
      <w:r w:rsidRPr="00F80B1E">
        <w:rPr>
          <w:rFonts w:eastAsia="Times New Roman"/>
          <w:lang w:val="en-GB"/>
        </w:rPr>
        <w:t>CEPEJ – Country profile Cyprus - Scoreboard (2019 data) (</w:t>
      </w:r>
      <w:r w:rsidRPr="00F80B1E">
        <w:rPr>
          <w:rFonts w:eastAsia="Times New Roman"/>
          <w:i/>
          <w:iCs/>
          <w:lang w:val="en-GB"/>
        </w:rPr>
        <w:t>content of the link will be available after acceptation of the CEPEJ Study for the Scoreboard by DG-Just</w:t>
      </w:r>
      <w:r w:rsidRPr="00F80B1E">
        <w:rPr>
          <w:rFonts w:eastAsia="Times New Roman"/>
          <w:lang w:val="en-GB"/>
        </w:rPr>
        <w:t>)</w:t>
      </w:r>
    </w:p>
    <w:p w14:paraId="5AB5AFC7" w14:textId="77777777" w:rsidR="00CF10CE" w:rsidRPr="00F80B1E" w:rsidRDefault="003E00FF" w:rsidP="00CF10CE">
      <w:pPr>
        <w:rPr>
          <w:color w:val="0563C1"/>
          <w:u w:val="single"/>
          <w:lang w:val="en-GB" w:eastAsia="fr-FR"/>
        </w:rPr>
      </w:pPr>
      <w:hyperlink r:id="rId12" w:history="1">
        <w:r w:rsidR="00CF10CE" w:rsidRPr="00F80B1E">
          <w:rPr>
            <w:rStyle w:val="Hyperlink"/>
            <w:lang w:val="en-US" w:eastAsia="fr-FR"/>
          </w:rPr>
          <w:t>CEPEJ Country Profiles Cyprus Scoreboard</w:t>
        </w:r>
      </w:hyperlink>
    </w:p>
    <w:p w14:paraId="072555FD" w14:textId="77777777" w:rsidR="00CF10CE" w:rsidRPr="00F80B1E" w:rsidRDefault="00CF10CE" w:rsidP="00CF10CE">
      <w:pPr>
        <w:pStyle w:val="ListParagraph"/>
        <w:ind w:left="360"/>
        <w:rPr>
          <w:rFonts w:eastAsia="Times New Roman"/>
          <w:lang w:val="en-US"/>
        </w:rPr>
      </w:pPr>
      <w:r w:rsidRPr="00F80B1E">
        <w:rPr>
          <w:rFonts w:eastAsia="Times New Roman"/>
          <w:lang w:val="en-US"/>
        </w:rPr>
        <w:t xml:space="preserve"> </w:t>
      </w:r>
    </w:p>
    <w:p w14:paraId="3E608594" w14:textId="77777777" w:rsidR="00CF10CE" w:rsidRPr="00F80B1E" w:rsidRDefault="00CF10CE" w:rsidP="00CF10CE">
      <w:pPr>
        <w:rPr>
          <w:lang w:val="en-US"/>
        </w:rPr>
      </w:pPr>
      <w:r w:rsidRPr="00F80B1E">
        <w:rPr>
          <w:rFonts w:eastAsia="Times New Roman"/>
          <w:lang w:val="en-GB"/>
        </w:rPr>
        <w:t>CEPEJ European Judicial Systems Evaluation Report – Evaluation cycle 2018-2020 (2018 data) – Part 2 Country profile Cyprus</w:t>
      </w:r>
    </w:p>
    <w:p w14:paraId="17F16139" w14:textId="77777777" w:rsidR="00CF10CE" w:rsidRPr="00F80B1E" w:rsidRDefault="003E00FF" w:rsidP="00CF10CE">
      <w:pPr>
        <w:rPr>
          <w:lang w:val="en-US"/>
        </w:rPr>
      </w:pPr>
      <w:hyperlink r:id="rId13" w:anchor="!/vizhome/CEPEJ-Countryprofilev1_0EN/CountryProfileA4part1?CountryParam=Cyprus" w:history="1">
        <w:r w:rsidR="00CF10CE" w:rsidRPr="00F80B1E">
          <w:rPr>
            <w:rStyle w:val="Hyperlink"/>
            <w:lang w:val="en-US"/>
          </w:rPr>
          <w:t>CEPEJ Evaluation Report - Country Profiles - Cyprus</w:t>
        </w:r>
      </w:hyperlink>
      <w:r w:rsidR="00CF10CE" w:rsidRPr="00F80B1E">
        <w:rPr>
          <w:lang w:val="en-US"/>
        </w:rPr>
        <w:t xml:space="preserve"> </w:t>
      </w:r>
    </w:p>
    <w:p w14:paraId="222B951C" w14:textId="77777777" w:rsidR="00CF10CE" w:rsidRPr="00F80B1E" w:rsidRDefault="00CF10CE" w:rsidP="00CF10CE">
      <w:pPr>
        <w:pStyle w:val="ListParagraph"/>
        <w:ind w:left="360"/>
        <w:rPr>
          <w:lang w:val="en-US"/>
        </w:rPr>
      </w:pPr>
    </w:p>
    <w:p w14:paraId="7D041EFF" w14:textId="77777777" w:rsidR="00CF10CE" w:rsidRPr="00F80B1E" w:rsidRDefault="00CF10CE" w:rsidP="00CF10CE">
      <w:pPr>
        <w:rPr>
          <w:rFonts w:eastAsia="Times New Roman"/>
          <w:lang w:val="en-US"/>
        </w:rPr>
      </w:pPr>
      <w:r w:rsidRPr="00F80B1E">
        <w:rPr>
          <w:rFonts w:eastAsia="Times New Roman"/>
          <w:lang w:val="en-GB"/>
        </w:rPr>
        <w:t xml:space="preserve">CEPEJ website – General Country profile Cyprus (including answers to the Evaluation Scheme) </w:t>
      </w:r>
    </w:p>
    <w:p w14:paraId="222615F3" w14:textId="77777777" w:rsidR="00CF10CE" w:rsidRPr="00F80B1E" w:rsidRDefault="003E00FF" w:rsidP="00CF10CE">
      <w:pPr>
        <w:rPr>
          <w:lang w:val="en-GB"/>
        </w:rPr>
      </w:pPr>
      <w:hyperlink r:id="rId14" w:history="1">
        <w:r w:rsidR="00CF10CE" w:rsidRPr="00F80B1E">
          <w:rPr>
            <w:rStyle w:val="Hyperlink"/>
            <w:lang w:val="en-GB"/>
          </w:rPr>
          <w:t xml:space="preserve">General CEPEJ Country profile </w:t>
        </w:r>
      </w:hyperlink>
      <w:r w:rsidR="00CF10CE" w:rsidRPr="00F80B1E">
        <w:rPr>
          <w:lang w:val="en-GB"/>
        </w:rPr>
        <w:t xml:space="preserve"> </w:t>
      </w:r>
    </w:p>
    <w:p w14:paraId="2A24C1C0" w14:textId="77777777" w:rsidR="00CF10CE" w:rsidRPr="00F80B1E" w:rsidRDefault="00CF10CE" w:rsidP="00CF10CE">
      <w:pPr>
        <w:pStyle w:val="ListParagraph"/>
        <w:ind w:left="360"/>
        <w:rPr>
          <w:rFonts w:eastAsia="Times New Roman"/>
          <w:lang w:val="en-GB"/>
        </w:rPr>
      </w:pPr>
    </w:p>
    <w:p w14:paraId="5F29BE9C" w14:textId="77777777" w:rsidR="00CF10CE" w:rsidRPr="00F80B1E" w:rsidRDefault="00CF10CE" w:rsidP="00CF10CE">
      <w:pPr>
        <w:rPr>
          <w:rFonts w:eastAsia="Times New Roman"/>
          <w:lang w:val="en-GB"/>
        </w:rPr>
      </w:pPr>
      <w:r w:rsidRPr="00F80B1E">
        <w:rPr>
          <w:rFonts w:eastAsia="Times New Roman"/>
          <w:lang w:val="en-GB"/>
        </w:rPr>
        <w:t xml:space="preserve">European Judicial Systems CEPEJ Evaluation Report – Evaluation cycle 2018-2020 (2018 data) – Part 1 Tables, </w:t>
      </w:r>
      <w:proofErr w:type="gramStart"/>
      <w:r w:rsidRPr="00F80B1E">
        <w:rPr>
          <w:rFonts w:eastAsia="Times New Roman"/>
          <w:lang w:val="en-GB"/>
        </w:rPr>
        <w:t>graphs</w:t>
      </w:r>
      <w:proofErr w:type="gramEnd"/>
      <w:r w:rsidRPr="00F80B1E">
        <w:rPr>
          <w:rFonts w:eastAsia="Times New Roman"/>
          <w:lang w:val="en-GB"/>
        </w:rPr>
        <w:t xml:space="preserve"> and analysis</w:t>
      </w:r>
    </w:p>
    <w:p w14:paraId="5F825B09" w14:textId="77777777" w:rsidR="00CF10CE" w:rsidRPr="00F80B1E" w:rsidRDefault="003E00FF" w:rsidP="00CF10CE">
      <w:pPr>
        <w:rPr>
          <w:rFonts w:eastAsia="Times New Roman"/>
          <w:lang w:val="en-GB"/>
        </w:rPr>
      </w:pPr>
      <w:hyperlink r:id="rId15" w:history="1">
        <w:r w:rsidR="00CF10CE" w:rsidRPr="00F80B1E">
          <w:rPr>
            <w:rStyle w:val="Hyperlink"/>
            <w:rFonts w:eastAsia="Times New Roman"/>
            <w:lang w:val="en-GB"/>
          </w:rPr>
          <w:t>CEPEJ Evaluation Report 2020 Part 1</w:t>
        </w:r>
      </w:hyperlink>
    </w:p>
    <w:p w14:paraId="26EB457B" w14:textId="77777777" w:rsidR="00CF10CE" w:rsidRPr="00F80B1E" w:rsidRDefault="00CF10CE" w:rsidP="00CF10CE">
      <w:pPr>
        <w:pStyle w:val="ListParagraph"/>
        <w:ind w:left="360"/>
        <w:rPr>
          <w:rFonts w:eastAsia="Times New Roman"/>
          <w:lang w:val="en-GB"/>
        </w:rPr>
      </w:pPr>
    </w:p>
    <w:p w14:paraId="2AD55807" w14:textId="77777777" w:rsidR="00CF10CE" w:rsidRPr="00F80B1E" w:rsidRDefault="00CF10CE" w:rsidP="00CF10CE">
      <w:pPr>
        <w:rPr>
          <w:lang w:val="en-GB"/>
        </w:rPr>
      </w:pPr>
      <w:r w:rsidRPr="00F80B1E">
        <w:rPr>
          <w:lang w:val="en-GB"/>
        </w:rPr>
        <w:t xml:space="preserve">CEPEJ Dynamic database of European judicial systems </w:t>
      </w:r>
    </w:p>
    <w:p w14:paraId="559EBDF0" w14:textId="77777777" w:rsidR="00CF10CE" w:rsidRPr="00F80B1E" w:rsidRDefault="003E00FF" w:rsidP="00CF10CE">
      <w:pPr>
        <w:rPr>
          <w:lang w:val="en-GB"/>
        </w:rPr>
      </w:pPr>
      <w:hyperlink r:id="rId16" w:history="1">
        <w:r w:rsidR="00CF10CE" w:rsidRPr="00F80B1E">
          <w:rPr>
            <w:rStyle w:val="Hyperlink"/>
            <w:lang w:val="en-GB"/>
          </w:rPr>
          <w:t>CEPEJ-STAT</w:t>
        </w:r>
      </w:hyperlink>
    </w:p>
    <w:p w14:paraId="789DC031" w14:textId="77777777" w:rsidR="00CF10CE" w:rsidRPr="00F80B1E" w:rsidRDefault="00CF10CE" w:rsidP="00CF10CE">
      <w:pPr>
        <w:rPr>
          <w:lang w:val="en-US"/>
        </w:rPr>
      </w:pPr>
    </w:p>
    <w:p w14:paraId="5EBB27F8" w14:textId="77777777" w:rsidR="004A628B" w:rsidRPr="00F80B1E" w:rsidRDefault="004A628B" w:rsidP="004A628B">
      <w:pPr>
        <w:pStyle w:val="Heading3"/>
        <w:rPr>
          <w:lang w:val="en-US"/>
        </w:rPr>
      </w:pPr>
      <w:bookmarkStart w:id="2" w:name="_Toc36635811"/>
      <w:r w:rsidRPr="00F80B1E">
        <w:rPr>
          <w:lang w:val="en-US"/>
        </w:rPr>
        <w:t>1. Appointment and selection of judges and prosecutors</w:t>
      </w:r>
      <w:bookmarkEnd w:id="2"/>
      <w:r w:rsidRPr="00F80B1E">
        <w:rPr>
          <w:lang w:val="en-US"/>
        </w:rPr>
        <w:t xml:space="preserve"> </w:t>
      </w:r>
    </w:p>
    <w:p w14:paraId="58724966" w14:textId="58834304" w:rsidR="00754B40" w:rsidRDefault="00754B40" w:rsidP="00754B40">
      <w:pPr>
        <w:rPr>
          <w:lang w:val="en-US"/>
        </w:rPr>
      </w:pPr>
    </w:p>
    <w:p w14:paraId="6E8C1725" w14:textId="77777777" w:rsidR="00AA7781" w:rsidRDefault="00AA7781" w:rsidP="00AA7781">
      <w:pPr>
        <w:rPr>
          <w:highlight w:val="yellow"/>
          <w:lang w:val="en-US"/>
        </w:rPr>
      </w:pPr>
      <w:r>
        <w:rPr>
          <w:highlight w:val="yellow"/>
          <w:lang w:val="en-US"/>
        </w:rPr>
        <w:t>The European Commission for Democracy through Law – Venice Commission</w:t>
      </w:r>
    </w:p>
    <w:p w14:paraId="3E724FE6" w14:textId="77777777" w:rsidR="000D4782" w:rsidRPr="00976132" w:rsidRDefault="000D4782" w:rsidP="000D4782">
      <w:pPr>
        <w:rPr>
          <w:rStyle w:val="Hyperlink"/>
          <w:lang w:val="en-US" w:eastAsia="fr-FR"/>
        </w:rPr>
      </w:pPr>
      <w:r w:rsidRPr="000D4782">
        <w:rPr>
          <w:highlight w:val="yellow"/>
          <w:lang w:val="en-GB"/>
        </w:rPr>
        <w:t xml:space="preserve">CDL-AD(2021)043 </w:t>
      </w:r>
      <w:hyperlink r:id="rId17" w:history="1">
        <w:r w:rsidRPr="000D4782">
          <w:rPr>
            <w:rStyle w:val="Hyperlink"/>
            <w:highlight w:val="yellow"/>
            <w:lang w:val="en-US" w:eastAsia="fr-FR"/>
          </w:rPr>
          <w:t>Cyprus - Opinion on three Bills reforming the Judiciary, adopted by the Venice Commission at its 129th Plenary session (10-11 December 2021, Venice and online)</w:t>
        </w:r>
      </w:hyperlink>
      <w:r w:rsidRPr="00976132">
        <w:rPr>
          <w:rStyle w:val="Hyperlink"/>
          <w:lang w:val="en-US" w:eastAsia="fr-FR"/>
        </w:rPr>
        <w:t> </w:t>
      </w:r>
    </w:p>
    <w:p w14:paraId="3EAEC6C5" w14:textId="77777777" w:rsidR="000D4782" w:rsidRPr="00F80B1E" w:rsidRDefault="000D4782" w:rsidP="00754B40">
      <w:pPr>
        <w:rPr>
          <w:lang w:val="en-US"/>
        </w:rPr>
      </w:pPr>
    </w:p>
    <w:p w14:paraId="7A1FFF20" w14:textId="77777777" w:rsidR="00754B40" w:rsidRPr="00F80B1E" w:rsidRDefault="00754B40" w:rsidP="00754B40">
      <w:pPr>
        <w:rPr>
          <w:lang w:val="en-US"/>
        </w:rPr>
      </w:pPr>
      <w:r w:rsidRPr="00F80B1E">
        <w:rPr>
          <w:lang w:val="en-US"/>
        </w:rPr>
        <w:t>GRECO</w:t>
      </w:r>
    </w:p>
    <w:p w14:paraId="0F51976D" w14:textId="527FCAB0" w:rsidR="00754B40" w:rsidRPr="00F80B1E" w:rsidRDefault="003E00FF" w:rsidP="00734D8B">
      <w:pPr>
        <w:rPr>
          <w:lang w:val="en-US"/>
        </w:rPr>
      </w:pPr>
      <w:hyperlink r:id="rId18" w:history="1">
        <w:r w:rsidR="00754B40" w:rsidRPr="00F80B1E">
          <w:rPr>
            <w:rStyle w:val="Hyperlink"/>
            <w:lang w:val="en-US"/>
          </w:rPr>
          <w:t>https://rm.coe.int/fourth-evaluation-round-corruption-prevention-in-respect-of-members-of/1680a06389</w:t>
        </w:r>
      </w:hyperlink>
    </w:p>
    <w:p w14:paraId="3189F483" w14:textId="1B6F007E"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0B8F9975" w14:textId="77777777" w:rsidR="00754B40" w:rsidRPr="00754B40" w:rsidRDefault="00754B40" w:rsidP="00734D8B">
      <w:pPr>
        <w:rPr>
          <w:lang w:val="en-GB"/>
        </w:rPr>
      </w:pPr>
    </w:p>
    <w:p w14:paraId="309C1D27" w14:textId="77777777" w:rsidR="00754B40" w:rsidRDefault="00754B40" w:rsidP="00734D8B">
      <w:pPr>
        <w:rPr>
          <w:lang w:val="en-US"/>
        </w:rPr>
      </w:pPr>
    </w:p>
    <w:p w14:paraId="4AF9EC7C" w14:textId="482AE4E6" w:rsidR="00734D8B" w:rsidRDefault="00734D8B" w:rsidP="00734D8B">
      <w:pPr>
        <w:rPr>
          <w:lang w:val="en-US"/>
        </w:rPr>
      </w:pPr>
      <w:r>
        <w:rPr>
          <w:lang w:val="en-US"/>
        </w:rPr>
        <w:t>GRECO</w:t>
      </w:r>
    </w:p>
    <w:p w14:paraId="7A5B345B" w14:textId="4558734E" w:rsidR="00CF1C6F" w:rsidRPr="00CF1C6F" w:rsidRDefault="003E00FF" w:rsidP="00CF1C6F">
      <w:pPr>
        <w:rPr>
          <w:lang w:val="en-GB"/>
        </w:rPr>
      </w:pPr>
      <w:hyperlink r:id="rId19" w:history="1">
        <w:r w:rsidR="00CF1C6F" w:rsidRPr="003308D0">
          <w:rPr>
            <w:rStyle w:val="Hyperlink"/>
            <w:lang w:val="en-GB"/>
          </w:rPr>
          <w:t>https://www.coe.int/en/web/greco/evaluations/cyprus</w:t>
        </w:r>
      </w:hyperlink>
    </w:p>
    <w:p w14:paraId="17F48A8F"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1B746166"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405ED38D"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10E69DF2" w14:textId="75856B2A" w:rsidR="009369F3" w:rsidRDefault="009369F3" w:rsidP="009369F3">
      <w:pPr>
        <w:rPr>
          <w:lang w:val="en-US"/>
        </w:rPr>
      </w:pPr>
    </w:p>
    <w:p w14:paraId="5314045E" w14:textId="77777777" w:rsidR="00BE46F0" w:rsidRPr="00BE46F0" w:rsidRDefault="00BE46F0" w:rsidP="00BE46F0">
      <w:pPr>
        <w:rPr>
          <w:rFonts w:cstheme="minorHAnsi"/>
          <w:highlight w:val="yellow"/>
          <w:lang w:val="en-US"/>
        </w:rPr>
      </w:pPr>
      <w:r w:rsidRPr="00BE46F0">
        <w:rPr>
          <w:rFonts w:cstheme="minorHAnsi"/>
          <w:highlight w:val="yellow"/>
          <w:lang w:val="en-US"/>
        </w:rPr>
        <w:t>Department for the Execution of Judgments of the European Court of Human Rights</w:t>
      </w:r>
    </w:p>
    <w:p w14:paraId="5CA04A5C" w14:textId="77777777" w:rsidR="00BE46F0" w:rsidRPr="00BE46F0" w:rsidRDefault="00BE46F0" w:rsidP="00BE46F0">
      <w:pPr>
        <w:spacing w:after="200"/>
        <w:jc w:val="both"/>
        <w:rPr>
          <w:rFonts w:eastAsia="Calibri" w:cstheme="minorHAnsi"/>
          <w:highlight w:val="yellow"/>
          <w:lang w:val="en-GB"/>
        </w:rPr>
      </w:pPr>
      <w:proofErr w:type="spellStart"/>
      <w:r w:rsidRPr="00BE46F0">
        <w:rPr>
          <w:rFonts w:eastAsia="Calibri" w:cstheme="minorHAnsi"/>
          <w:highlight w:val="yellow"/>
          <w:u w:val="single"/>
          <w:lang w:val="en-GB"/>
        </w:rPr>
        <w:t>Kamenos</w:t>
      </w:r>
      <w:proofErr w:type="spellEnd"/>
      <w:r w:rsidRPr="00BE46F0">
        <w:rPr>
          <w:rFonts w:eastAsia="Calibri" w:cstheme="minorHAnsi"/>
          <w:highlight w:val="yellow"/>
          <w:lang w:val="en-GB"/>
        </w:rPr>
        <w:t xml:space="preserve"> (147/07) (STAND):</w:t>
      </w:r>
      <w:r w:rsidRPr="00BE46F0">
        <w:rPr>
          <w:rFonts w:eastAsia="Calibri" w:cstheme="minorHAnsi"/>
          <w:i/>
          <w:iCs/>
          <w:highlight w:val="yellow"/>
          <w:lang w:val="en-GB"/>
        </w:rPr>
        <w:t xml:space="preserve"> </w:t>
      </w:r>
      <w:r w:rsidRPr="00BE46F0">
        <w:rPr>
          <w:rFonts w:eastAsia="Calibri" w:cstheme="minorHAnsi"/>
          <w:highlight w:val="yellow"/>
          <w:lang w:val="en-GB"/>
        </w:rPr>
        <w:t xml:space="preserve">This case concerns the proceedings before the Supreme Council of Judicature (the “SCJ”) leading to the applicant’s dismissal in 2006 from his position as a judge and president at the Industrial Disputes Court. The Court found that although the SCJ did its best to avoid a </w:t>
      </w:r>
      <w:proofErr w:type="spellStart"/>
      <w:r w:rsidRPr="00BE46F0">
        <w:rPr>
          <w:rFonts w:eastAsia="Calibri" w:cstheme="minorHAnsi"/>
          <w:highlight w:val="yellow"/>
          <w:lang w:val="en-GB"/>
        </w:rPr>
        <w:t>prosecutory</w:t>
      </w:r>
      <w:proofErr w:type="spellEnd"/>
      <w:r w:rsidRPr="00BE46F0">
        <w:rPr>
          <w:rFonts w:eastAsia="Calibri" w:cstheme="minorHAnsi"/>
          <w:highlight w:val="yellow"/>
          <w:lang w:val="en-GB"/>
        </w:rPr>
        <w:t xml:space="preserve"> procedure, the fact remained that the same individuals framed the charges and conducted the disciplinary proceedings against the applicant, resulting in objectively justified fears as to the SCJ’s impartiality (violation of Article 6 § 1). </w:t>
      </w:r>
    </w:p>
    <w:p w14:paraId="0C519A9E" w14:textId="77777777" w:rsidR="00BE46F0" w:rsidRPr="00BE46F0" w:rsidRDefault="00BE46F0" w:rsidP="00BE46F0">
      <w:pPr>
        <w:spacing w:after="200"/>
        <w:jc w:val="both"/>
        <w:rPr>
          <w:rFonts w:eastAsia="Calibri" w:cstheme="minorHAnsi"/>
          <w:color w:val="000000"/>
          <w:highlight w:val="yellow"/>
          <w:lang w:val="en-GB"/>
        </w:rPr>
      </w:pPr>
      <w:r w:rsidRPr="00BE46F0">
        <w:rPr>
          <w:rFonts w:eastAsia="Calibri" w:cstheme="minorHAnsi"/>
          <w:color w:val="000000"/>
          <w:highlight w:val="yellow"/>
          <w:lang w:val="en-GB"/>
        </w:rPr>
        <w:t xml:space="preserve">Presentation on </w:t>
      </w:r>
      <w:proofErr w:type="spellStart"/>
      <w:r w:rsidRPr="00BE46F0">
        <w:rPr>
          <w:rFonts w:eastAsia="Calibri" w:cstheme="minorHAnsi"/>
          <w:color w:val="000000"/>
          <w:highlight w:val="yellow"/>
          <w:lang w:val="en-GB"/>
        </w:rPr>
        <w:t>Hudoc.exec</w:t>
      </w:r>
      <w:proofErr w:type="spellEnd"/>
      <w:r w:rsidRPr="00BE46F0">
        <w:rPr>
          <w:rFonts w:eastAsia="Calibri" w:cstheme="minorHAnsi"/>
          <w:color w:val="000000"/>
          <w:highlight w:val="yellow"/>
          <w:lang w:val="en-GB"/>
        </w:rPr>
        <w:t xml:space="preserve">: </w:t>
      </w:r>
      <w:hyperlink r:id="rId20" w:history="1">
        <w:proofErr w:type="spellStart"/>
        <w:r w:rsidRPr="00BE46F0">
          <w:rPr>
            <w:rFonts w:eastAsia="Calibri" w:cstheme="minorHAnsi"/>
            <w:color w:val="0000FF"/>
            <w:highlight w:val="yellow"/>
            <w:u w:val="single"/>
            <w:lang w:val="en-GB"/>
          </w:rPr>
          <w:t>Kamenos</w:t>
        </w:r>
        <w:proofErr w:type="spellEnd"/>
      </w:hyperlink>
      <w:r w:rsidRPr="00BE46F0">
        <w:rPr>
          <w:rFonts w:eastAsia="Calibri" w:cstheme="minorHAnsi"/>
          <w:color w:val="000000"/>
          <w:highlight w:val="yellow"/>
          <w:lang w:val="en-GB"/>
        </w:rPr>
        <w:t xml:space="preserve"> </w:t>
      </w:r>
    </w:p>
    <w:p w14:paraId="31A56828" w14:textId="77777777" w:rsidR="00BE46F0" w:rsidRPr="00BE46F0" w:rsidRDefault="00BE46F0" w:rsidP="00BE46F0">
      <w:pPr>
        <w:spacing w:after="200"/>
        <w:jc w:val="both"/>
        <w:rPr>
          <w:rFonts w:eastAsia="Calibri" w:cstheme="minorHAnsi"/>
          <w:lang w:val="en-GB"/>
        </w:rPr>
      </w:pPr>
      <w:r w:rsidRPr="00BE46F0">
        <w:rPr>
          <w:rFonts w:eastAsia="Calibri" w:cstheme="minorHAnsi"/>
          <w:color w:val="000000"/>
          <w:highlight w:val="yellow"/>
          <w:lang w:val="en-GB"/>
        </w:rPr>
        <w:t>No developments after January 2021, but above link provided for information.</w:t>
      </w:r>
    </w:p>
    <w:p w14:paraId="31662E67" w14:textId="77777777" w:rsidR="00AA7781" w:rsidRDefault="00AA7781" w:rsidP="00AA7781">
      <w:pPr>
        <w:rPr>
          <w:highlight w:val="yellow"/>
          <w:lang w:val="en-US"/>
        </w:rPr>
      </w:pPr>
      <w:r>
        <w:rPr>
          <w:highlight w:val="yellow"/>
          <w:lang w:val="en-US"/>
        </w:rPr>
        <w:t>The European Commission for Democracy through Law – Venice Commission</w:t>
      </w:r>
    </w:p>
    <w:p w14:paraId="13697250" w14:textId="77777777" w:rsidR="000D4782" w:rsidRPr="00976132" w:rsidRDefault="000D4782" w:rsidP="000D4782">
      <w:pPr>
        <w:rPr>
          <w:rStyle w:val="Hyperlink"/>
          <w:lang w:val="en-US" w:eastAsia="fr-FR"/>
        </w:rPr>
      </w:pPr>
      <w:r w:rsidRPr="000D4782">
        <w:rPr>
          <w:highlight w:val="yellow"/>
          <w:lang w:val="en-GB"/>
        </w:rPr>
        <w:t xml:space="preserve">CDL-AD(2021)043 </w:t>
      </w:r>
      <w:hyperlink r:id="rId21" w:history="1">
        <w:r w:rsidRPr="000D4782">
          <w:rPr>
            <w:rStyle w:val="Hyperlink"/>
            <w:highlight w:val="yellow"/>
            <w:lang w:val="en-US" w:eastAsia="fr-FR"/>
          </w:rPr>
          <w:t>Cyprus - Opinion on three Bills reforming the Judiciary, adopted by the Venice Commission at its 129th Plenary session (10-11 December 2021, Venice and online)</w:t>
        </w:r>
      </w:hyperlink>
      <w:r w:rsidRPr="00976132">
        <w:rPr>
          <w:rStyle w:val="Hyperlink"/>
          <w:lang w:val="en-US" w:eastAsia="fr-FR"/>
        </w:rPr>
        <w:t> </w:t>
      </w:r>
    </w:p>
    <w:p w14:paraId="65AC1BA9" w14:textId="16AE02D5" w:rsidR="00BE46F0" w:rsidRPr="000D4782" w:rsidRDefault="00BE46F0" w:rsidP="009369F3">
      <w:pPr>
        <w:rPr>
          <w:lang w:val="en-US"/>
        </w:rPr>
      </w:pPr>
    </w:p>
    <w:p w14:paraId="2CAF5017" w14:textId="77777777" w:rsidR="00BE46F0" w:rsidRDefault="00BE46F0" w:rsidP="009369F3">
      <w:pPr>
        <w:rPr>
          <w:lang w:val="en-US"/>
        </w:rPr>
      </w:pPr>
    </w:p>
    <w:p w14:paraId="7715AAE8" w14:textId="77777777" w:rsidR="009369F3" w:rsidRPr="00F80B1E" w:rsidRDefault="009369F3" w:rsidP="009369F3">
      <w:pPr>
        <w:rPr>
          <w:rFonts w:cstheme="minorHAnsi"/>
          <w:lang w:val="en-US"/>
        </w:rPr>
      </w:pPr>
      <w:r w:rsidRPr="00F80B1E">
        <w:rPr>
          <w:rFonts w:cstheme="minorHAnsi"/>
          <w:lang w:val="en-US"/>
        </w:rPr>
        <w:t>Department for the Execution of Judgments of the European Court of Human Rights</w:t>
      </w:r>
    </w:p>
    <w:p w14:paraId="40D73763" w14:textId="4FED7253" w:rsidR="009369F3" w:rsidRPr="00F80B1E" w:rsidRDefault="009369F3" w:rsidP="009369F3">
      <w:pPr>
        <w:spacing w:after="200"/>
        <w:jc w:val="both"/>
        <w:rPr>
          <w:rFonts w:ascii="Calibri" w:eastAsia="Calibri" w:hAnsi="Calibri" w:cs="Calibri"/>
          <w:lang w:val="en-GB"/>
        </w:rPr>
      </w:pPr>
      <w:proofErr w:type="spellStart"/>
      <w:r w:rsidRPr="00F80B1E">
        <w:rPr>
          <w:rFonts w:ascii="Calibri" w:eastAsia="Calibri" w:hAnsi="Calibri" w:cs="Calibri"/>
          <w:u w:val="single"/>
          <w:lang w:val="en-GB"/>
        </w:rPr>
        <w:t>Kamenos</w:t>
      </w:r>
      <w:proofErr w:type="spellEnd"/>
      <w:r w:rsidRPr="00F80B1E">
        <w:rPr>
          <w:rFonts w:ascii="Calibri" w:eastAsia="Calibri" w:hAnsi="Calibri" w:cs="Calibri"/>
          <w:u w:val="single"/>
          <w:lang w:val="en-GB"/>
        </w:rPr>
        <w:t xml:space="preserve"> v Cyprus (147/07) (STAND):</w:t>
      </w:r>
      <w:r w:rsidRPr="00F80B1E">
        <w:rPr>
          <w:rFonts w:ascii="Calibri" w:eastAsia="Calibri" w:hAnsi="Calibri" w:cs="Calibri"/>
          <w:i/>
          <w:iCs/>
          <w:lang w:val="en-GB"/>
        </w:rPr>
        <w:t xml:space="preserve"> </w:t>
      </w:r>
      <w:r w:rsidRPr="00F80B1E">
        <w:rPr>
          <w:rFonts w:ascii="Calibri" w:eastAsia="Calibri" w:hAnsi="Calibri" w:cs="Calibri"/>
          <w:lang w:val="en-GB"/>
        </w:rPr>
        <w:t xml:space="preserve">This case concerns the proceedings before the Supreme Council of Judicature (the “SCJ”) leading to the applicant’s dismissal in 2006 from his position as a judge and president at the Industrial Disputes Court. The Court found that although the SCJ did its best to avoid a </w:t>
      </w:r>
      <w:proofErr w:type="spellStart"/>
      <w:r w:rsidRPr="00F80B1E">
        <w:rPr>
          <w:rFonts w:ascii="Calibri" w:eastAsia="Calibri" w:hAnsi="Calibri" w:cs="Calibri"/>
          <w:lang w:val="en-GB"/>
        </w:rPr>
        <w:t>prosecutory</w:t>
      </w:r>
      <w:proofErr w:type="spellEnd"/>
      <w:r w:rsidRPr="00F80B1E">
        <w:rPr>
          <w:rFonts w:ascii="Calibri" w:eastAsia="Calibri" w:hAnsi="Calibri" w:cs="Calibri"/>
          <w:lang w:val="en-GB"/>
        </w:rPr>
        <w:t xml:space="preserve"> procedure, the fact remained that the same individuals framed the charges and conducted the disciplinary proceedings against the applicant, resulting in objectively justified fears as to the SCJ’s impartiality (violation of Article 6 § 1). No recent submissions in 2020 or 2021, but links provided for information</w:t>
      </w:r>
      <w:r w:rsidRPr="00F80B1E">
        <w:rPr>
          <w:rFonts w:ascii="Calibri" w:eastAsia="Calibri" w:hAnsi="Calibri" w:cs="Calibri"/>
          <w:u w:val="single"/>
          <w:lang w:val="en-GB"/>
        </w:rPr>
        <w:t xml:space="preserve"> </w:t>
      </w:r>
      <w:r w:rsidRPr="00F80B1E">
        <w:rPr>
          <w:rFonts w:ascii="Calibri" w:eastAsia="Calibri" w:hAnsi="Calibri" w:cs="Calibri"/>
          <w:lang w:val="en-GB"/>
        </w:rPr>
        <w:t xml:space="preserve">: </w:t>
      </w:r>
      <w:r w:rsidRPr="00F80B1E">
        <w:rPr>
          <w:rFonts w:ascii="Calibri" w:eastAsia="Calibri" w:hAnsi="Calibri" w:cs="Calibri"/>
          <w:color w:val="000000"/>
          <w:lang w:val="en-GB"/>
        </w:rPr>
        <w:t xml:space="preserve">Presentation on </w:t>
      </w:r>
      <w:proofErr w:type="spellStart"/>
      <w:r w:rsidRPr="00F80B1E">
        <w:rPr>
          <w:rFonts w:ascii="Calibri" w:eastAsia="Calibri" w:hAnsi="Calibri" w:cs="Calibri"/>
          <w:color w:val="000000"/>
          <w:lang w:val="en-GB"/>
        </w:rPr>
        <w:t>Hudoc.exec</w:t>
      </w:r>
      <w:proofErr w:type="spellEnd"/>
      <w:r w:rsidRPr="00F80B1E">
        <w:rPr>
          <w:rFonts w:ascii="Calibri" w:eastAsia="Calibri" w:hAnsi="Calibri" w:cs="Calibri"/>
          <w:color w:val="000000"/>
          <w:lang w:val="en-GB"/>
        </w:rPr>
        <w:t xml:space="preserve">: </w:t>
      </w:r>
      <w:hyperlink r:id="rId22" w:history="1">
        <w:proofErr w:type="spellStart"/>
        <w:r w:rsidRPr="00F80B1E">
          <w:rPr>
            <w:rFonts w:ascii="Calibri" w:eastAsia="Calibri" w:hAnsi="Calibri" w:cs="Calibri"/>
            <w:color w:val="0000FF"/>
            <w:u w:val="single"/>
            <w:lang w:val="en-GB"/>
          </w:rPr>
          <w:t>Kamenos</w:t>
        </w:r>
        <w:proofErr w:type="spellEnd"/>
      </w:hyperlink>
      <w:r w:rsidRPr="00F80B1E">
        <w:rPr>
          <w:rFonts w:ascii="Calibri" w:eastAsia="Calibri" w:hAnsi="Calibri" w:cs="Calibri"/>
          <w:color w:val="000000"/>
          <w:lang w:val="en-GB"/>
        </w:rPr>
        <w:t xml:space="preserve">  and </w:t>
      </w:r>
      <w:hyperlink r:id="rId23" w:anchor="{%22display%22:[2],%22EXECIdentifier%22:[%22DH-DD(2019)330E%22]}" w:history="1">
        <w:r w:rsidRPr="00F80B1E">
          <w:rPr>
            <w:rFonts w:ascii="Calibri" w:eastAsia="Calibri" w:hAnsi="Calibri" w:cs="Calibri"/>
            <w:color w:val="0000FF"/>
            <w:u w:val="single"/>
            <w:lang w:val="en-GB"/>
          </w:rPr>
          <w:t xml:space="preserve">action plan of 25 February 2019. </w:t>
        </w:r>
      </w:hyperlink>
      <w:r w:rsidRPr="00F80B1E">
        <w:rPr>
          <w:rFonts w:ascii="Calibri" w:eastAsia="Calibri" w:hAnsi="Calibri" w:cs="Calibri"/>
          <w:color w:val="000000"/>
          <w:lang w:val="en-GB"/>
        </w:rPr>
        <w:t xml:space="preserve"> </w:t>
      </w:r>
    </w:p>
    <w:p w14:paraId="695EDB73" w14:textId="77777777" w:rsidR="009369F3" w:rsidRPr="00F80B1E" w:rsidRDefault="009369F3" w:rsidP="009369F3">
      <w:pPr>
        <w:rPr>
          <w:lang w:val="en-GB"/>
        </w:rPr>
      </w:pPr>
    </w:p>
    <w:p w14:paraId="66DB79BB" w14:textId="77777777" w:rsidR="00754B40" w:rsidRPr="00F80B1E" w:rsidRDefault="00754B40" w:rsidP="00754B40">
      <w:pPr>
        <w:rPr>
          <w:lang w:val="en-US"/>
        </w:rPr>
      </w:pPr>
      <w:r w:rsidRPr="00F80B1E">
        <w:rPr>
          <w:lang w:val="en-US"/>
        </w:rPr>
        <w:t>GRECO</w:t>
      </w:r>
    </w:p>
    <w:p w14:paraId="0CD9E569" w14:textId="77777777" w:rsidR="00754B40" w:rsidRPr="00F80B1E" w:rsidRDefault="003E00FF" w:rsidP="00754B40">
      <w:pPr>
        <w:rPr>
          <w:lang w:val="en-US"/>
        </w:rPr>
      </w:pPr>
      <w:hyperlink r:id="rId24" w:history="1">
        <w:r w:rsidR="00754B40" w:rsidRPr="00F80B1E">
          <w:rPr>
            <w:rStyle w:val="Hyperlink"/>
            <w:lang w:val="en-US"/>
          </w:rPr>
          <w:t>https://rm.coe.int/fourth-evaluation-round-corruption-prevention-in-respect-of-members-of/1680a06389</w:t>
        </w:r>
      </w:hyperlink>
    </w:p>
    <w:p w14:paraId="1E42A4E5" w14:textId="77777777"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23EE3D40" w14:textId="77777777" w:rsidR="00754B40" w:rsidRPr="00754B40" w:rsidRDefault="00754B40" w:rsidP="00754B40">
      <w:pPr>
        <w:rPr>
          <w:lang w:val="en-GB"/>
        </w:rPr>
      </w:pPr>
    </w:p>
    <w:p w14:paraId="2BF1C86B" w14:textId="77777777" w:rsidR="00CF1C6F" w:rsidRDefault="00CF1C6F" w:rsidP="00CF1C6F">
      <w:pPr>
        <w:rPr>
          <w:lang w:val="en-US"/>
        </w:rPr>
      </w:pPr>
      <w:r>
        <w:rPr>
          <w:lang w:val="en-US"/>
        </w:rPr>
        <w:t>GRECO</w:t>
      </w:r>
    </w:p>
    <w:p w14:paraId="75A2708F" w14:textId="77777777" w:rsidR="00CF1C6F" w:rsidRPr="00CF1C6F" w:rsidRDefault="003E00FF" w:rsidP="00CF1C6F">
      <w:pPr>
        <w:rPr>
          <w:lang w:val="en-GB"/>
        </w:rPr>
      </w:pPr>
      <w:hyperlink r:id="rId25" w:history="1">
        <w:r w:rsidR="00CF1C6F" w:rsidRPr="003308D0">
          <w:rPr>
            <w:rStyle w:val="Hyperlink"/>
            <w:lang w:val="en-GB"/>
          </w:rPr>
          <w:t>https://www.coe.int/en/web/greco/evaluations/cyprus</w:t>
        </w:r>
      </w:hyperlink>
    </w:p>
    <w:p w14:paraId="73C51DED"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6C19F03A"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7DBC9E0F"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0E01726B" w14:textId="77777777" w:rsidR="00754B40" w:rsidRPr="00F80B1E" w:rsidRDefault="00754B40" w:rsidP="00754B40">
      <w:pPr>
        <w:rPr>
          <w:lang w:val="en-US"/>
        </w:rPr>
      </w:pPr>
      <w:r w:rsidRPr="00F80B1E">
        <w:rPr>
          <w:lang w:val="en-US"/>
        </w:rPr>
        <w:t>GRECO</w:t>
      </w:r>
    </w:p>
    <w:p w14:paraId="688F1D47" w14:textId="77777777" w:rsidR="00754B40" w:rsidRPr="00F80B1E" w:rsidRDefault="003E00FF" w:rsidP="00754B40">
      <w:pPr>
        <w:rPr>
          <w:lang w:val="en-US"/>
        </w:rPr>
      </w:pPr>
      <w:hyperlink r:id="rId26" w:history="1">
        <w:r w:rsidR="00754B40" w:rsidRPr="00F80B1E">
          <w:rPr>
            <w:rStyle w:val="Hyperlink"/>
            <w:lang w:val="en-US"/>
          </w:rPr>
          <w:t>https://rm.coe.int/fourth-evaluation-round-corruption-prevention-in-respect-of-members-of/1680a06389</w:t>
        </w:r>
      </w:hyperlink>
    </w:p>
    <w:p w14:paraId="556325A7" w14:textId="77777777"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4808A07B" w14:textId="77777777" w:rsidR="00754B40" w:rsidRPr="00754B40" w:rsidRDefault="00754B40" w:rsidP="00754B40">
      <w:pPr>
        <w:rPr>
          <w:lang w:val="en-GB"/>
        </w:rPr>
      </w:pPr>
    </w:p>
    <w:p w14:paraId="3A21C6E6" w14:textId="77777777" w:rsidR="00CF1C6F" w:rsidRDefault="00CF1C6F" w:rsidP="00CF1C6F">
      <w:pPr>
        <w:rPr>
          <w:lang w:val="en-US"/>
        </w:rPr>
      </w:pPr>
      <w:r>
        <w:rPr>
          <w:lang w:val="en-US"/>
        </w:rPr>
        <w:t>GRECO</w:t>
      </w:r>
    </w:p>
    <w:p w14:paraId="3CD839B3" w14:textId="77777777" w:rsidR="00CF1C6F" w:rsidRPr="00CF1C6F" w:rsidRDefault="003E00FF" w:rsidP="00CF1C6F">
      <w:pPr>
        <w:rPr>
          <w:lang w:val="en-GB"/>
        </w:rPr>
      </w:pPr>
      <w:hyperlink r:id="rId27" w:history="1">
        <w:r w:rsidR="00CF1C6F" w:rsidRPr="003308D0">
          <w:rPr>
            <w:rStyle w:val="Hyperlink"/>
            <w:lang w:val="en-GB"/>
          </w:rPr>
          <w:t>https://www.coe.int/en/web/greco/evaluations/cyprus</w:t>
        </w:r>
      </w:hyperlink>
    </w:p>
    <w:p w14:paraId="4E2A6131"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4ADF747C"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5B456BE2" w14:textId="77777777" w:rsidR="00734D8B" w:rsidRPr="00172847" w:rsidRDefault="00734D8B" w:rsidP="00734D8B">
      <w:pPr>
        <w:rPr>
          <w:lang w:val="en-GB"/>
        </w:rPr>
      </w:pPr>
    </w:p>
    <w:p w14:paraId="11113B2C" w14:textId="22D287E8"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01B48EAD" w14:textId="77777777" w:rsidR="0046136B" w:rsidRPr="0046136B" w:rsidRDefault="0046136B" w:rsidP="0046136B">
      <w:pPr>
        <w:rPr>
          <w:lang w:val="en-US"/>
        </w:rPr>
      </w:pPr>
    </w:p>
    <w:p w14:paraId="5584CF93" w14:textId="77777777" w:rsidR="00F54516" w:rsidRPr="00F54516" w:rsidRDefault="00F54516" w:rsidP="00F54516">
      <w:pPr>
        <w:rPr>
          <w:rFonts w:cstheme="minorHAnsi"/>
          <w:highlight w:val="yellow"/>
          <w:lang w:val="en-US"/>
        </w:rPr>
      </w:pPr>
      <w:r w:rsidRPr="00F54516">
        <w:rPr>
          <w:rFonts w:cstheme="minorHAnsi"/>
          <w:highlight w:val="yellow"/>
          <w:lang w:val="en-US"/>
        </w:rPr>
        <w:t>Department for the Execution of Judgments of the European Court of Human Rights</w:t>
      </w:r>
    </w:p>
    <w:p w14:paraId="77840290" w14:textId="77777777" w:rsidR="00F54516" w:rsidRPr="00F54516" w:rsidRDefault="003E00FF" w:rsidP="00F54516">
      <w:pPr>
        <w:jc w:val="both"/>
        <w:rPr>
          <w:rFonts w:eastAsia="Calibri" w:cstheme="minorHAnsi"/>
          <w:highlight w:val="yellow"/>
          <w:lang w:val="en-GB"/>
        </w:rPr>
      </w:pPr>
      <w:hyperlink r:id="rId28" w:history="1">
        <w:proofErr w:type="spellStart"/>
        <w:r w:rsidR="00F54516" w:rsidRPr="00F54516">
          <w:rPr>
            <w:rFonts w:eastAsia="Calibri" w:cstheme="minorHAnsi"/>
            <w:highlight w:val="yellow"/>
            <w:u w:val="single"/>
            <w:lang w:val="en-GB"/>
          </w:rPr>
          <w:t>Koulias</w:t>
        </w:r>
        <w:proofErr w:type="spellEnd"/>
        <w:r w:rsidR="00F54516" w:rsidRPr="00F54516">
          <w:rPr>
            <w:rFonts w:eastAsia="Calibri" w:cstheme="minorHAnsi"/>
            <w:highlight w:val="yellow"/>
            <w:u w:val="single"/>
            <w:lang w:val="en-GB"/>
          </w:rPr>
          <w:t xml:space="preserve"> </w:t>
        </w:r>
      </w:hyperlink>
      <w:r w:rsidR="00F54516" w:rsidRPr="00F54516">
        <w:rPr>
          <w:rFonts w:eastAsia="Calibri" w:cstheme="minorHAnsi"/>
          <w:highlight w:val="yellow"/>
          <w:lang w:val="en-GB"/>
        </w:rPr>
        <w:t xml:space="preserve"> (48781/12) (STAND)</w:t>
      </w:r>
      <w:r w:rsidR="00F54516" w:rsidRPr="00F54516">
        <w:rPr>
          <w:rFonts w:eastAsia="Calibri" w:cstheme="minorHAnsi"/>
          <w:i/>
          <w:iCs/>
          <w:highlight w:val="yellow"/>
          <w:lang w:val="en-GB"/>
        </w:rPr>
        <w:t xml:space="preserve">: </w:t>
      </w:r>
      <w:r w:rsidR="00F54516" w:rsidRPr="00F54516">
        <w:rPr>
          <w:rFonts w:eastAsia="Calibri" w:cstheme="minorHAnsi"/>
          <w:highlight w:val="yellow"/>
          <w:lang w:val="en-GB"/>
        </w:rPr>
        <w:t>This case concerns objectively justified doubts regarding the impartiality of a judge deciding the applicant’s case in 2012. In defamation proceedings against the applicant before t</w:t>
      </w:r>
      <w:r w:rsidR="00F54516" w:rsidRPr="00F54516">
        <w:rPr>
          <w:rFonts w:eastAsia="Calibri" w:cstheme="minorHAnsi"/>
          <w:highlight w:val="yellow"/>
          <w:shd w:val="clear" w:color="auto" w:fill="FFFFFF"/>
          <w:lang w:val="en-GB"/>
        </w:rPr>
        <w:t xml:space="preserve">he Supreme Court, </w:t>
      </w:r>
      <w:r w:rsidR="00F54516" w:rsidRPr="00F54516">
        <w:rPr>
          <w:rFonts w:eastAsia="Calibri" w:cstheme="minorHAnsi"/>
          <w:highlight w:val="yellow"/>
          <w:lang w:val="en-GB"/>
        </w:rPr>
        <w:t>the appellant’s lawyer was the founding partner of the firm for which the son of the presiding judge on the Supreme Courts’ bench worked. These circumstances were not disclosed to the applicant who discovered them only after a judgment had been given in respect of his appeal (violation of Art. 6 § 1).</w:t>
      </w:r>
    </w:p>
    <w:p w14:paraId="1E634E11" w14:textId="77777777" w:rsidR="00F54516" w:rsidRPr="00F54516" w:rsidRDefault="00F54516" w:rsidP="00F54516">
      <w:pPr>
        <w:jc w:val="both"/>
        <w:rPr>
          <w:rFonts w:eastAsia="Calibri" w:cstheme="minorHAnsi"/>
          <w:highlight w:val="yellow"/>
          <w:lang w:val="en-GB"/>
        </w:rPr>
      </w:pPr>
    </w:p>
    <w:p w14:paraId="62B6B079" w14:textId="77777777" w:rsidR="00F54516" w:rsidRPr="00F54516" w:rsidRDefault="00F54516" w:rsidP="00F54516">
      <w:pPr>
        <w:jc w:val="both"/>
        <w:rPr>
          <w:rFonts w:eastAsia="Calibri" w:cstheme="minorHAnsi"/>
          <w:highlight w:val="yellow"/>
          <w:lang w:val="en-GB"/>
        </w:rPr>
      </w:pPr>
      <w:r w:rsidRPr="00F54516">
        <w:rPr>
          <w:rFonts w:eastAsia="Calibri" w:cstheme="minorHAnsi"/>
          <w:highlight w:val="yellow"/>
          <w:lang w:val="en-GB"/>
        </w:rPr>
        <w:t xml:space="preserve">Presentation on </w:t>
      </w:r>
      <w:proofErr w:type="spellStart"/>
      <w:r w:rsidRPr="00F54516">
        <w:rPr>
          <w:rFonts w:eastAsia="Calibri" w:cstheme="minorHAnsi"/>
          <w:highlight w:val="yellow"/>
          <w:lang w:val="en-GB"/>
        </w:rPr>
        <w:t>Hudoc.exec</w:t>
      </w:r>
      <w:proofErr w:type="spellEnd"/>
      <w:r w:rsidRPr="00F54516">
        <w:rPr>
          <w:rFonts w:eastAsia="Calibri" w:cstheme="minorHAnsi"/>
          <w:highlight w:val="yellow"/>
          <w:lang w:val="en-GB"/>
        </w:rPr>
        <w:t xml:space="preserve">: </w:t>
      </w:r>
      <w:hyperlink r:id="rId29" w:history="1">
        <w:proofErr w:type="spellStart"/>
        <w:r w:rsidRPr="00F54516">
          <w:rPr>
            <w:rFonts w:eastAsia="Calibri" w:cstheme="minorHAnsi"/>
            <w:color w:val="0000FF"/>
            <w:highlight w:val="yellow"/>
            <w:u w:val="single"/>
            <w:lang w:val="en-GB"/>
          </w:rPr>
          <w:t>Koulias</w:t>
        </w:r>
        <w:proofErr w:type="spellEnd"/>
      </w:hyperlink>
      <w:r w:rsidRPr="00F54516">
        <w:rPr>
          <w:rFonts w:eastAsia="Calibri" w:cstheme="minorHAnsi"/>
          <w:highlight w:val="yellow"/>
          <w:lang w:val="en-GB"/>
        </w:rPr>
        <w:t xml:space="preserve"> </w:t>
      </w:r>
    </w:p>
    <w:p w14:paraId="159D0B0B" w14:textId="77777777" w:rsidR="00F54516" w:rsidRPr="00F54516" w:rsidRDefault="00F54516" w:rsidP="00F54516">
      <w:pPr>
        <w:jc w:val="both"/>
        <w:rPr>
          <w:rFonts w:eastAsia="Calibri" w:cstheme="minorHAnsi"/>
          <w:lang w:val="en-GB"/>
        </w:rPr>
      </w:pPr>
      <w:r w:rsidRPr="00F54516">
        <w:rPr>
          <w:rFonts w:cstheme="minorHAnsi"/>
          <w:highlight w:val="yellow"/>
          <w:lang w:val="en-GB"/>
        </w:rPr>
        <w:t xml:space="preserve">Latest submissions: </w:t>
      </w:r>
      <w:hyperlink r:id="rId30" w:anchor="{%22fulltext%22:[%22Koulias%22],%22display%22:[2],%22EXECIdentifier%22:[%22DH-DD(2021)675E%22]}" w:history="1">
        <w:r w:rsidRPr="00F54516">
          <w:rPr>
            <w:rFonts w:cstheme="minorHAnsi"/>
            <w:color w:val="0000FF"/>
            <w:highlight w:val="yellow"/>
            <w:u w:val="single"/>
            <w:lang w:val="en-GB"/>
          </w:rPr>
          <w:t>DH-DD(2021)675</w:t>
        </w:r>
      </w:hyperlink>
    </w:p>
    <w:p w14:paraId="72D4D0BF" w14:textId="2278E866" w:rsidR="00F54516" w:rsidRDefault="00F54516" w:rsidP="00C6040A">
      <w:pPr>
        <w:rPr>
          <w:lang w:val="en-US"/>
        </w:rPr>
      </w:pPr>
    </w:p>
    <w:p w14:paraId="13784F2C" w14:textId="098214B8" w:rsidR="00AA7781" w:rsidRDefault="00AA7781" w:rsidP="00C6040A">
      <w:pPr>
        <w:rPr>
          <w:lang w:val="en-US"/>
        </w:rPr>
      </w:pPr>
    </w:p>
    <w:p w14:paraId="5E618021" w14:textId="77777777" w:rsidR="00AA7781" w:rsidRDefault="00AA7781" w:rsidP="00C6040A">
      <w:pPr>
        <w:rPr>
          <w:lang w:val="en-US"/>
        </w:rPr>
      </w:pPr>
    </w:p>
    <w:p w14:paraId="1B8C7C29" w14:textId="77777777" w:rsidR="00F54516" w:rsidRDefault="00F54516" w:rsidP="00C6040A">
      <w:pPr>
        <w:rPr>
          <w:lang w:val="en-US"/>
        </w:rPr>
      </w:pPr>
    </w:p>
    <w:p w14:paraId="4D2FC9F7" w14:textId="7A4C559C" w:rsidR="00C6040A" w:rsidRPr="00F80B1E" w:rsidRDefault="00C6040A" w:rsidP="00C6040A">
      <w:pPr>
        <w:rPr>
          <w:rFonts w:cstheme="minorHAnsi"/>
          <w:lang w:val="en-US"/>
        </w:rPr>
      </w:pPr>
      <w:r w:rsidRPr="00F80B1E">
        <w:rPr>
          <w:rFonts w:cstheme="minorHAnsi"/>
          <w:lang w:val="en-US"/>
        </w:rPr>
        <w:t>Department for the Execution of Judgments of the European Court of Human Rights</w:t>
      </w:r>
    </w:p>
    <w:p w14:paraId="28DC458E" w14:textId="77777777" w:rsidR="00C6040A" w:rsidRPr="00F80B1E" w:rsidRDefault="003E00FF" w:rsidP="00C6040A">
      <w:pPr>
        <w:jc w:val="both"/>
        <w:rPr>
          <w:rFonts w:eastAsia="Calibri" w:cstheme="minorHAnsi"/>
          <w:lang w:val="en-GB"/>
        </w:rPr>
      </w:pPr>
      <w:hyperlink r:id="rId31" w:history="1">
        <w:proofErr w:type="spellStart"/>
        <w:r w:rsidR="00C6040A" w:rsidRPr="00F80B1E">
          <w:rPr>
            <w:rFonts w:eastAsia="Calibri" w:cstheme="minorHAnsi"/>
            <w:u w:val="single"/>
            <w:lang w:val="en-GB"/>
          </w:rPr>
          <w:t>Koulias</w:t>
        </w:r>
        <w:proofErr w:type="spellEnd"/>
        <w:r w:rsidR="00C6040A" w:rsidRPr="00F80B1E">
          <w:rPr>
            <w:rFonts w:eastAsia="Calibri" w:cstheme="minorHAnsi"/>
            <w:u w:val="single"/>
            <w:lang w:val="en-GB"/>
          </w:rPr>
          <w:t xml:space="preserve"> v Cyprus</w:t>
        </w:r>
      </w:hyperlink>
      <w:r w:rsidR="00C6040A" w:rsidRPr="00F80B1E">
        <w:rPr>
          <w:rFonts w:eastAsia="Calibri" w:cstheme="minorHAnsi"/>
          <w:u w:val="single"/>
          <w:lang w:val="en-GB"/>
        </w:rPr>
        <w:t xml:space="preserve"> (48781/12) (STAND)</w:t>
      </w:r>
      <w:r w:rsidR="00C6040A" w:rsidRPr="00F80B1E">
        <w:rPr>
          <w:rFonts w:eastAsia="Calibri" w:cstheme="minorHAnsi"/>
          <w:i/>
          <w:iCs/>
          <w:lang w:val="en-GB"/>
        </w:rPr>
        <w:t xml:space="preserve">: </w:t>
      </w:r>
      <w:r w:rsidR="00C6040A" w:rsidRPr="00F80B1E">
        <w:rPr>
          <w:rFonts w:eastAsia="Calibri" w:cstheme="minorHAnsi"/>
          <w:lang w:val="en-GB"/>
        </w:rPr>
        <w:t>This case concerns objectively justified doubts regarding the impartiality of a judge deciding the applicant’s case in 2012. In defamation proceedings against the applicant before t</w:t>
      </w:r>
      <w:r w:rsidR="00C6040A" w:rsidRPr="00F80B1E">
        <w:rPr>
          <w:rFonts w:eastAsia="Calibri" w:cstheme="minorHAnsi"/>
          <w:shd w:val="clear" w:color="auto" w:fill="FFFFFF"/>
          <w:lang w:val="en-GB"/>
        </w:rPr>
        <w:t xml:space="preserve">he Supreme Court, </w:t>
      </w:r>
      <w:r w:rsidR="00C6040A" w:rsidRPr="00F80B1E">
        <w:rPr>
          <w:rFonts w:eastAsia="Calibri" w:cstheme="minorHAnsi"/>
          <w:lang w:val="en-GB"/>
        </w:rPr>
        <w:t>the appellant’s lawyer was the founding partner of the firm for which the son of the presiding judge on the Supreme Courts’ bench worked. These circumstances were not disclosed to the applicant who discovered them only after a judgment had been given in respect of his appeal (violation of Art. 6 § 1).</w:t>
      </w:r>
    </w:p>
    <w:p w14:paraId="3477C65A" w14:textId="77777777" w:rsidR="00C6040A" w:rsidRPr="00F80B1E" w:rsidRDefault="00C6040A" w:rsidP="00C6040A">
      <w:pPr>
        <w:jc w:val="both"/>
        <w:rPr>
          <w:rStyle w:val="Hyperlink"/>
          <w:lang w:val="en-GB"/>
        </w:rPr>
      </w:pPr>
      <w:r w:rsidRPr="00F80B1E">
        <w:rPr>
          <w:rFonts w:eastAsia="Calibri" w:cstheme="minorHAnsi"/>
          <w:lang w:val="en-GB"/>
        </w:rPr>
        <w:t xml:space="preserve">New case, presentation on </w:t>
      </w:r>
      <w:proofErr w:type="spellStart"/>
      <w:proofErr w:type="gramStart"/>
      <w:r w:rsidRPr="00F80B1E">
        <w:rPr>
          <w:rFonts w:eastAsia="Calibri" w:cstheme="minorHAnsi"/>
          <w:lang w:val="en-GB"/>
        </w:rPr>
        <w:t>Hudoc.exec</w:t>
      </w:r>
      <w:proofErr w:type="spellEnd"/>
      <w:r w:rsidRPr="00F80B1E">
        <w:rPr>
          <w:rFonts w:eastAsia="Calibri" w:cstheme="minorHAnsi"/>
          <w:lang w:val="en-GB"/>
        </w:rPr>
        <w:t xml:space="preserve"> :</w:t>
      </w:r>
      <w:proofErr w:type="gramEnd"/>
      <w:r w:rsidRPr="00F80B1E">
        <w:rPr>
          <w:rFonts w:eastAsia="Calibri" w:cstheme="minorHAnsi"/>
          <w:lang w:val="en-GB"/>
        </w:rPr>
        <w:t xml:space="preserve">  </w:t>
      </w:r>
      <w:hyperlink r:id="rId32" w:history="1">
        <w:proofErr w:type="spellStart"/>
        <w:r w:rsidRPr="00F80B1E">
          <w:rPr>
            <w:rStyle w:val="Hyperlink"/>
            <w:lang w:val="en-GB"/>
          </w:rPr>
          <w:t>Koulias</w:t>
        </w:r>
        <w:proofErr w:type="spellEnd"/>
      </w:hyperlink>
      <w:r w:rsidRPr="00F80B1E">
        <w:rPr>
          <w:rStyle w:val="Hyperlink"/>
          <w:lang w:val="en-GB"/>
        </w:rPr>
        <w:t xml:space="preserve"> </w:t>
      </w:r>
    </w:p>
    <w:p w14:paraId="5D7D3EBA" w14:textId="77777777" w:rsidR="00C6040A" w:rsidRPr="00F80B1E" w:rsidRDefault="00C6040A" w:rsidP="00C6040A">
      <w:pPr>
        <w:rPr>
          <w:rFonts w:cstheme="minorHAnsi"/>
          <w:lang w:val="en-GB"/>
        </w:rPr>
      </w:pPr>
    </w:p>
    <w:p w14:paraId="1D6BD750" w14:textId="77777777" w:rsidR="00C6040A" w:rsidRPr="00F80B1E" w:rsidRDefault="00C6040A" w:rsidP="00C6040A">
      <w:pPr>
        <w:rPr>
          <w:lang w:val="en-US"/>
        </w:rPr>
      </w:pPr>
    </w:p>
    <w:p w14:paraId="433AA0B6" w14:textId="77777777" w:rsidR="00754B40" w:rsidRPr="00F80B1E" w:rsidRDefault="00754B40" w:rsidP="00754B40">
      <w:pPr>
        <w:rPr>
          <w:lang w:val="en-US"/>
        </w:rPr>
      </w:pPr>
      <w:r w:rsidRPr="00F80B1E">
        <w:rPr>
          <w:lang w:val="en-US"/>
        </w:rPr>
        <w:t>GRECO</w:t>
      </w:r>
    </w:p>
    <w:p w14:paraId="3B3431DF" w14:textId="77777777" w:rsidR="00754B40" w:rsidRPr="00F80B1E" w:rsidRDefault="003E00FF" w:rsidP="00754B40">
      <w:pPr>
        <w:rPr>
          <w:lang w:val="en-US"/>
        </w:rPr>
      </w:pPr>
      <w:hyperlink r:id="rId33" w:history="1">
        <w:r w:rsidR="00754B40" w:rsidRPr="00F80B1E">
          <w:rPr>
            <w:rStyle w:val="Hyperlink"/>
            <w:lang w:val="en-US"/>
          </w:rPr>
          <w:t>https://rm.coe.int/fourth-evaluation-round-corruption-prevention-in-respect-of-members-of/1680a06389</w:t>
        </w:r>
      </w:hyperlink>
    </w:p>
    <w:p w14:paraId="5C6A03FD" w14:textId="77777777"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6F379ACD" w14:textId="77777777" w:rsidR="00754B40" w:rsidRPr="00754B40" w:rsidRDefault="00754B40" w:rsidP="00754B40">
      <w:pPr>
        <w:rPr>
          <w:lang w:val="en-GB"/>
        </w:rPr>
      </w:pPr>
    </w:p>
    <w:p w14:paraId="79849129" w14:textId="77777777" w:rsidR="00CF1C6F" w:rsidRDefault="00CF1C6F" w:rsidP="00CF1C6F">
      <w:pPr>
        <w:rPr>
          <w:lang w:val="en-US"/>
        </w:rPr>
      </w:pPr>
      <w:bookmarkStart w:id="6" w:name="_Toc36635815"/>
      <w:r>
        <w:rPr>
          <w:lang w:val="en-US"/>
        </w:rPr>
        <w:t>GRECO</w:t>
      </w:r>
    </w:p>
    <w:p w14:paraId="6DC1C31C" w14:textId="77777777" w:rsidR="00CF1C6F" w:rsidRPr="00CF1C6F" w:rsidRDefault="003E00FF" w:rsidP="00CF1C6F">
      <w:pPr>
        <w:rPr>
          <w:lang w:val="en-GB"/>
        </w:rPr>
      </w:pPr>
      <w:hyperlink r:id="rId34" w:history="1">
        <w:r w:rsidR="00CF1C6F" w:rsidRPr="003308D0">
          <w:rPr>
            <w:rStyle w:val="Hyperlink"/>
            <w:lang w:val="en-GB"/>
          </w:rPr>
          <w:t>https://www.coe.int/en/web/greco/evaluations/cyprus</w:t>
        </w:r>
      </w:hyperlink>
    </w:p>
    <w:p w14:paraId="3D66F4B2"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31C61D51"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5D17B43D" w14:textId="2F17722D"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w:t>
      </w:r>
      <w:proofErr w:type="gramStart"/>
      <w:r w:rsidRPr="00546B57">
        <w:rPr>
          <w:lang w:val="en-US"/>
        </w:rPr>
        <w:t>e.g.</w:t>
      </w:r>
      <w:proofErr w:type="gramEnd"/>
      <w:r w:rsidRPr="00546B57">
        <w:rPr>
          <w:lang w:val="en-US"/>
        </w:rPr>
        <w:t xml:space="preserve"> Council for the Judiciary)</w:t>
      </w:r>
      <w:bookmarkEnd w:id="6"/>
      <w:r w:rsidRPr="00546B57">
        <w:rPr>
          <w:lang w:val="en-US"/>
        </w:rPr>
        <w:t xml:space="preserve"> </w:t>
      </w:r>
    </w:p>
    <w:p w14:paraId="44AC2099" w14:textId="1A6B5511" w:rsidR="000D4782" w:rsidRDefault="000D4782" w:rsidP="00CF1C6F">
      <w:pPr>
        <w:rPr>
          <w:lang w:val="en-US"/>
        </w:rPr>
      </w:pPr>
    </w:p>
    <w:p w14:paraId="7552F51D" w14:textId="77777777" w:rsidR="00AA7781" w:rsidRDefault="00AA7781" w:rsidP="00AA7781">
      <w:pPr>
        <w:rPr>
          <w:highlight w:val="yellow"/>
          <w:lang w:val="en-US"/>
        </w:rPr>
      </w:pPr>
      <w:r>
        <w:rPr>
          <w:highlight w:val="yellow"/>
          <w:lang w:val="en-US"/>
        </w:rPr>
        <w:t>The European Commission for Democracy through Law – Venice Commission</w:t>
      </w:r>
    </w:p>
    <w:p w14:paraId="690DDF08" w14:textId="77777777" w:rsidR="000D4782" w:rsidRPr="00976132" w:rsidRDefault="000D4782" w:rsidP="000D4782">
      <w:pPr>
        <w:rPr>
          <w:rStyle w:val="Hyperlink"/>
          <w:lang w:val="en-US" w:eastAsia="fr-FR"/>
        </w:rPr>
      </w:pPr>
      <w:r w:rsidRPr="000D4782">
        <w:rPr>
          <w:highlight w:val="yellow"/>
          <w:lang w:val="en-GB"/>
        </w:rPr>
        <w:t xml:space="preserve">CDL-AD(2021)043 </w:t>
      </w:r>
      <w:hyperlink r:id="rId35" w:history="1">
        <w:r w:rsidRPr="000D4782">
          <w:rPr>
            <w:rStyle w:val="Hyperlink"/>
            <w:highlight w:val="yellow"/>
            <w:lang w:val="en-US" w:eastAsia="fr-FR"/>
          </w:rPr>
          <w:t>Cyprus - Opinion on three Bills reforming the Judiciary, adopted by the Venice Commission at its 129th Plenary session (10-11 December 2021, Venice and online)</w:t>
        </w:r>
      </w:hyperlink>
      <w:r w:rsidRPr="00976132">
        <w:rPr>
          <w:rStyle w:val="Hyperlink"/>
          <w:lang w:val="en-US" w:eastAsia="fr-FR"/>
        </w:rPr>
        <w:t> </w:t>
      </w:r>
    </w:p>
    <w:p w14:paraId="22AB2B98" w14:textId="77777777" w:rsidR="000D4782" w:rsidRDefault="000D4782" w:rsidP="00CF1C6F">
      <w:pPr>
        <w:rPr>
          <w:lang w:val="en-US"/>
        </w:rPr>
      </w:pPr>
    </w:p>
    <w:p w14:paraId="4C6A313E" w14:textId="77777777" w:rsidR="00754B40" w:rsidRPr="00F80B1E" w:rsidRDefault="00754B40" w:rsidP="00754B40">
      <w:pPr>
        <w:rPr>
          <w:lang w:val="en-US"/>
        </w:rPr>
      </w:pPr>
      <w:r w:rsidRPr="00F80B1E">
        <w:rPr>
          <w:lang w:val="en-US"/>
        </w:rPr>
        <w:t>GRECO</w:t>
      </w:r>
    </w:p>
    <w:p w14:paraId="20EFE800" w14:textId="77777777" w:rsidR="00754B40" w:rsidRPr="00F80B1E" w:rsidRDefault="003E00FF" w:rsidP="00754B40">
      <w:pPr>
        <w:rPr>
          <w:lang w:val="en-US"/>
        </w:rPr>
      </w:pPr>
      <w:hyperlink r:id="rId36" w:history="1">
        <w:r w:rsidR="00754B40" w:rsidRPr="00F80B1E">
          <w:rPr>
            <w:rStyle w:val="Hyperlink"/>
            <w:lang w:val="en-US"/>
          </w:rPr>
          <w:t>https://rm.coe.int/fourth-evaluation-round-corruption-prevention-in-respect-of-members-of/1680a06389</w:t>
        </w:r>
      </w:hyperlink>
    </w:p>
    <w:p w14:paraId="2EA3FEA0" w14:textId="77777777"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56B081A3" w14:textId="77777777" w:rsidR="00754B40" w:rsidRPr="00754B40" w:rsidRDefault="00754B40" w:rsidP="00CF1C6F">
      <w:pPr>
        <w:rPr>
          <w:lang w:val="en-GB"/>
        </w:rPr>
      </w:pPr>
    </w:p>
    <w:p w14:paraId="185F7F4D" w14:textId="7C4DFB59" w:rsidR="00CF1C6F" w:rsidRDefault="00CF1C6F" w:rsidP="00CF1C6F">
      <w:pPr>
        <w:rPr>
          <w:lang w:val="en-US"/>
        </w:rPr>
      </w:pPr>
      <w:r>
        <w:rPr>
          <w:lang w:val="en-US"/>
        </w:rPr>
        <w:t>GRECO</w:t>
      </w:r>
    </w:p>
    <w:p w14:paraId="22A35C68" w14:textId="45A17C1B" w:rsidR="00CF1C6F" w:rsidRPr="00CF1C6F" w:rsidRDefault="003E00FF" w:rsidP="00CF1C6F">
      <w:pPr>
        <w:rPr>
          <w:lang w:val="en-GB"/>
        </w:rPr>
      </w:pPr>
      <w:hyperlink r:id="rId37" w:history="1">
        <w:r w:rsidR="00754B40" w:rsidRPr="00AD4B63">
          <w:rPr>
            <w:rStyle w:val="Hyperlink"/>
            <w:lang w:val="en-GB"/>
          </w:rPr>
          <w:t>https://www.coe.int/en/web/greco/evaluations/cyprus</w:t>
        </w:r>
      </w:hyperlink>
    </w:p>
    <w:p w14:paraId="701CB46E"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1842D813"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646C038F"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63EB9D7F" w14:textId="77777777" w:rsidR="00754B40" w:rsidRPr="00F80B1E" w:rsidRDefault="00754B40" w:rsidP="00754B40">
      <w:pPr>
        <w:rPr>
          <w:lang w:val="en-US"/>
        </w:rPr>
      </w:pPr>
      <w:r w:rsidRPr="00F80B1E">
        <w:rPr>
          <w:lang w:val="en-US"/>
        </w:rPr>
        <w:t>GRECO</w:t>
      </w:r>
    </w:p>
    <w:p w14:paraId="610608CC" w14:textId="77777777" w:rsidR="00754B40" w:rsidRPr="00F80B1E" w:rsidRDefault="003E00FF" w:rsidP="00754B40">
      <w:pPr>
        <w:rPr>
          <w:lang w:val="en-US"/>
        </w:rPr>
      </w:pPr>
      <w:hyperlink r:id="rId38" w:history="1">
        <w:r w:rsidR="00754B40" w:rsidRPr="00F80B1E">
          <w:rPr>
            <w:rStyle w:val="Hyperlink"/>
            <w:lang w:val="en-US"/>
          </w:rPr>
          <w:t>https://rm.coe.int/fourth-evaluation-round-corruption-prevention-in-respect-of-members-of/1680a06389</w:t>
        </w:r>
      </w:hyperlink>
    </w:p>
    <w:p w14:paraId="3F8C5705" w14:textId="77777777"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1ED17113" w14:textId="77777777" w:rsidR="00754B40" w:rsidRPr="00754B40" w:rsidRDefault="00754B40" w:rsidP="00754B40">
      <w:pPr>
        <w:rPr>
          <w:lang w:val="en-GB"/>
        </w:rPr>
      </w:pPr>
    </w:p>
    <w:p w14:paraId="57680AF8" w14:textId="77777777" w:rsidR="00CF1C6F" w:rsidRDefault="00CF1C6F" w:rsidP="00CF1C6F">
      <w:pPr>
        <w:rPr>
          <w:lang w:val="en-US"/>
        </w:rPr>
      </w:pPr>
      <w:r>
        <w:rPr>
          <w:lang w:val="en-US"/>
        </w:rPr>
        <w:lastRenderedPageBreak/>
        <w:t>GRECO</w:t>
      </w:r>
    </w:p>
    <w:p w14:paraId="4D79C387" w14:textId="77777777" w:rsidR="00CF1C6F" w:rsidRPr="00CF1C6F" w:rsidRDefault="003E00FF" w:rsidP="00CF1C6F">
      <w:pPr>
        <w:rPr>
          <w:lang w:val="en-GB"/>
        </w:rPr>
      </w:pPr>
      <w:hyperlink r:id="rId39" w:history="1">
        <w:r w:rsidR="00CF1C6F" w:rsidRPr="003308D0">
          <w:rPr>
            <w:rStyle w:val="Hyperlink"/>
            <w:lang w:val="en-GB"/>
          </w:rPr>
          <w:t>https://www.coe.int/en/web/greco/evaluations/cyprus</w:t>
        </w:r>
      </w:hyperlink>
    </w:p>
    <w:p w14:paraId="534F0069"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18CFAB57"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29622CC7" w14:textId="365C99BF" w:rsidR="00172847" w:rsidRDefault="00172847" w:rsidP="00172847">
      <w:pPr>
        <w:rPr>
          <w:lang w:val="en-US"/>
        </w:rPr>
      </w:pPr>
    </w:p>
    <w:p w14:paraId="19830ADB" w14:textId="77777777" w:rsidR="00172847" w:rsidRPr="00172847" w:rsidRDefault="00172847" w:rsidP="00172847">
      <w:pPr>
        <w:rPr>
          <w:lang w:val="en-US"/>
        </w:rPr>
      </w:pPr>
    </w:p>
    <w:p w14:paraId="56D40F39" w14:textId="05F33DA7"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52028FA9" w14:textId="77777777" w:rsidR="00754B40" w:rsidRPr="00F80B1E" w:rsidRDefault="00754B40" w:rsidP="00754B40">
      <w:pPr>
        <w:rPr>
          <w:lang w:val="en-US"/>
        </w:rPr>
      </w:pPr>
      <w:r w:rsidRPr="00F80B1E">
        <w:rPr>
          <w:lang w:val="en-US"/>
        </w:rPr>
        <w:t>GRECO</w:t>
      </w:r>
    </w:p>
    <w:p w14:paraId="474E1B37" w14:textId="77777777" w:rsidR="00754B40" w:rsidRPr="00F80B1E" w:rsidRDefault="003E00FF" w:rsidP="00754B40">
      <w:pPr>
        <w:rPr>
          <w:lang w:val="en-US"/>
        </w:rPr>
      </w:pPr>
      <w:hyperlink r:id="rId40" w:history="1">
        <w:r w:rsidR="00754B40" w:rsidRPr="00F80B1E">
          <w:rPr>
            <w:rStyle w:val="Hyperlink"/>
            <w:lang w:val="en-US"/>
          </w:rPr>
          <w:t>https://rm.coe.int/fourth-evaluation-round-corruption-prevention-in-respect-of-members-of/1680a06389</w:t>
        </w:r>
      </w:hyperlink>
    </w:p>
    <w:p w14:paraId="1A76D823" w14:textId="77777777"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5F90D32F" w14:textId="77777777" w:rsidR="00754B40" w:rsidRPr="00754B40" w:rsidRDefault="00754B40" w:rsidP="00754B40">
      <w:pPr>
        <w:rPr>
          <w:lang w:val="en-GB"/>
        </w:rPr>
      </w:pPr>
    </w:p>
    <w:p w14:paraId="71ECF15C" w14:textId="77777777" w:rsidR="00CF1C6F" w:rsidRDefault="00CF1C6F" w:rsidP="00CF1C6F">
      <w:pPr>
        <w:rPr>
          <w:lang w:val="en-US"/>
        </w:rPr>
      </w:pPr>
      <w:r>
        <w:rPr>
          <w:lang w:val="en-US"/>
        </w:rPr>
        <w:t>GRECO</w:t>
      </w:r>
    </w:p>
    <w:p w14:paraId="29F43E93" w14:textId="77777777" w:rsidR="00CF1C6F" w:rsidRPr="00CF1C6F" w:rsidRDefault="003E00FF" w:rsidP="00CF1C6F">
      <w:pPr>
        <w:rPr>
          <w:lang w:val="en-GB"/>
        </w:rPr>
      </w:pPr>
      <w:hyperlink r:id="rId41" w:history="1">
        <w:r w:rsidR="00CF1C6F" w:rsidRPr="003308D0">
          <w:rPr>
            <w:rStyle w:val="Hyperlink"/>
            <w:lang w:val="en-GB"/>
          </w:rPr>
          <w:t>https://www.coe.int/en/web/greco/evaluations/cyprus</w:t>
        </w:r>
      </w:hyperlink>
    </w:p>
    <w:p w14:paraId="1A115377"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25BBA957"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 xml:space="preserve">10. Significant developments capable of affecting the perception that the </w:t>
      </w:r>
      <w:proofErr w:type="gramStart"/>
      <w:r w:rsidRPr="00546B57">
        <w:rPr>
          <w:lang w:val="en-US"/>
        </w:rPr>
        <w:t>general public</w:t>
      </w:r>
      <w:proofErr w:type="gramEnd"/>
      <w:r w:rsidRPr="00546B57">
        <w:rPr>
          <w:lang w:val="en-US"/>
        </w:rPr>
        <w:t xml:space="preserve"> has</w:t>
      </w:r>
      <w:bookmarkEnd w:id="11"/>
      <w:r w:rsidRPr="00546B57">
        <w:rPr>
          <w:lang w:val="en-US"/>
        </w:rPr>
        <w:t xml:space="preserve"> </w:t>
      </w:r>
    </w:p>
    <w:p w14:paraId="10D0715C" w14:textId="5C4E714F"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4F7C65F5" w14:textId="77777777" w:rsidR="00754B40" w:rsidRPr="00F80B1E" w:rsidRDefault="00754B40" w:rsidP="00754B40">
      <w:pPr>
        <w:rPr>
          <w:lang w:val="en-US"/>
        </w:rPr>
      </w:pPr>
      <w:r w:rsidRPr="00F80B1E">
        <w:rPr>
          <w:lang w:val="en-US"/>
        </w:rPr>
        <w:t>GRECO</w:t>
      </w:r>
    </w:p>
    <w:p w14:paraId="726059D1" w14:textId="77777777" w:rsidR="00754B40" w:rsidRPr="00F80B1E" w:rsidRDefault="003E00FF" w:rsidP="00754B40">
      <w:pPr>
        <w:rPr>
          <w:lang w:val="en-US"/>
        </w:rPr>
      </w:pPr>
      <w:hyperlink r:id="rId42" w:history="1">
        <w:r w:rsidR="00754B40" w:rsidRPr="00F80B1E">
          <w:rPr>
            <w:rStyle w:val="Hyperlink"/>
            <w:lang w:val="en-US"/>
          </w:rPr>
          <w:t>https://rm.coe.int/fourth-evaluation-round-corruption-prevention-in-respect-of-members-of/1680a06389</w:t>
        </w:r>
      </w:hyperlink>
    </w:p>
    <w:p w14:paraId="7562A3C1" w14:textId="77777777"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485DBF30" w14:textId="77777777" w:rsidR="00754B40" w:rsidRPr="00754B40" w:rsidRDefault="00754B40" w:rsidP="00754B40">
      <w:pPr>
        <w:rPr>
          <w:lang w:val="en-GB"/>
        </w:rPr>
      </w:pPr>
    </w:p>
    <w:p w14:paraId="2B5C2F6C" w14:textId="77777777" w:rsidR="00CF1C6F" w:rsidRDefault="00CF1C6F" w:rsidP="00CF1C6F">
      <w:pPr>
        <w:rPr>
          <w:lang w:val="en-US"/>
        </w:rPr>
      </w:pPr>
      <w:r>
        <w:rPr>
          <w:lang w:val="en-US"/>
        </w:rPr>
        <w:t>GRECO</w:t>
      </w:r>
    </w:p>
    <w:p w14:paraId="0A93FA49" w14:textId="77777777" w:rsidR="00CF1C6F" w:rsidRPr="00CF1C6F" w:rsidRDefault="003E00FF" w:rsidP="00CF1C6F">
      <w:pPr>
        <w:rPr>
          <w:lang w:val="en-GB"/>
        </w:rPr>
      </w:pPr>
      <w:hyperlink r:id="rId43" w:history="1">
        <w:r w:rsidR="00CF1C6F" w:rsidRPr="003308D0">
          <w:rPr>
            <w:rStyle w:val="Hyperlink"/>
            <w:lang w:val="en-GB"/>
          </w:rPr>
          <w:t>https://www.coe.int/en/web/greco/evaluations/cyprus</w:t>
        </w:r>
      </w:hyperlink>
    </w:p>
    <w:p w14:paraId="69F570E6"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07F9121B"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7D11E662"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32C04466" w14:textId="150CCE34" w:rsidR="00EF1D14" w:rsidRDefault="00EF1D14" w:rsidP="00EF1D14">
      <w:pPr>
        <w:rPr>
          <w:lang w:val="en-US"/>
        </w:rPr>
      </w:pPr>
    </w:p>
    <w:p w14:paraId="02B0F957" w14:textId="77777777" w:rsidR="006C4991" w:rsidRPr="004D6381" w:rsidRDefault="006C4991" w:rsidP="006C4991">
      <w:pPr>
        <w:pStyle w:val="Heading2"/>
        <w:shd w:val="clear" w:color="auto" w:fill="FFFFFF"/>
        <w:spacing w:before="0"/>
        <w:rPr>
          <w:rFonts w:asciiTheme="minorHAnsi" w:hAnsiTheme="minorHAnsi" w:cstheme="minorHAnsi"/>
          <w:color w:val="auto"/>
          <w:sz w:val="20"/>
          <w:szCs w:val="20"/>
          <w:highlight w:val="yellow"/>
          <w:lang w:val="en-US"/>
        </w:rPr>
      </w:pPr>
      <w:r w:rsidRPr="004D6381">
        <w:rPr>
          <w:rFonts w:asciiTheme="minorHAnsi" w:hAnsiTheme="minorHAnsi" w:cstheme="minorHAnsi"/>
          <w:color w:val="auto"/>
          <w:sz w:val="20"/>
          <w:szCs w:val="20"/>
          <w:highlight w:val="yellow"/>
          <w:lang w:val="en-US"/>
        </w:rPr>
        <w:t>European Committee on Legal Co-operation (CDCJ)</w:t>
      </w:r>
    </w:p>
    <w:p w14:paraId="5A5A2A36" w14:textId="77777777" w:rsidR="006C4991" w:rsidRPr="004D6381" w:rsidRDefault="003E00FF" w:rsidP="006C4991">
      <w:pPr>
        <w:rPr>
          <w:rStyle w:val="Hyperlink"/>
          <w:highlight w:val="yellow"/>
          <w:lang w:val="en-GB"/>
        </w:rPr>
      </w:pPr>
      <w:hyperlink r:id="rId44" w:history="1">
        <w:r w:rsidR="006C4991" w:rsidRPr="004D6381">
          <w:rPr>
            <w:rStyle w:val="Hyperlink"/>
            <w:highlight w:val="yellow"/>
            <w:lang w:val="en-GB"/>
          </w:rPr>
          <w:t xml:space="preserve">Guidelines of the Committee of Ministers of the Council of Europe on </w:t>
        </w:r>
        <w:hyperlink r:id="rId45" w:history="1">
          <w:r w:rsidR="006C4991" w:rsidRPr="004D6381">
            <w:rPr>
              <w:rStyle w:val="Hyperlink"/>
              <w:highlight w:val="yellow"/>
              <w:lang w:val="en-GB"/>
            </w:rPr>
            <w:t>Online Dispute Resolution Mechanisms in Civil and Administrative Court Proceedings</w:t>
          </w:r>
        </w:hyperlink>
      </w:hyperlink>
    </w:p>
    <w:p w14:paraId="50124EE2" w14:textId="77777777" w:rsidR="006C4991" w:rsidRPr="004D6381" w:rsidRDefault="006C4991" w:rsidP="006C4991">
      <w:pPr>
        <w:rPr>
          <w:rStyle w:val="Hyperlink"/>
          <w:highlight w:val="yellow"/>
          <w:lang w:val="en-GB"/>
        </w:rPr>
      </w:pPr>
    </w:p>
    <w:p w14:paraId="696908D8" w14:textId="77777777" w:rsidR="006C4991" w:rsidRPr="004D6381" w:rsidRDefault="006C4991" w:rsidP="006C4991">
      <w:pPr>
        <w:pStyle w:val="Heading2"/>
        <w:shd w:val="clear" w:color="auto" w:fill="FFFFFF"/>
        <w:spacing w:before="0"/>
        <w:rPr>
          <w:rFonts w:asciiTheme="minorHAnsi" w:hAnsiTheme="minorHAnsi" w:cstheme="minorHAnsi"/>
          <w:color w:val="auto"/>
          <w:sz w:val="20"/>
          <w:szCs w:val="20"/>
          <w:highlight w:val="yellow"/>
          <w:lang w:val="en-US"/>
        </w:rPr>
      </w:pPr>
      <w:r w:rsidRPr="004D6381">
        <w:rPr>
          <w:rFonts w:asciiTheme="minorHAnsi" w:hAnsiTheme="minorHAnsi" w:cstheme="minorHAnsi"/>
          <w:color w:val="auto"/>
          <w:sz w:val="20"/>
          <w:szCs w:val="20"/>
          <w:highlight w:val="yellow"/>
          <w:lang w:val="en-US"/>
        </w:rPr>
        <w:t>European Committee on Legal Co-operation (CDCJ)</w:t>
      </w:r>
    </w:p>
    <w:p w14:paraId="7D853103" w14:textId="77777777" w:rsidR="006C4991" w:rsidRPr="004D6381" w:rsidRDefault="003E00FF" w:rsidP="006C4991">
      <w:pPr>
        <w:rPr>
          <w:rStyle w:val="Hyperlink"/>
          <w:highlight w:val="yellow"/>
          <w:lang w:val="en-GB"/>
        </w:rPr>
      </w:pPr>
      <w:hyperlink r:id="rId46" w:history="1">
        <w:r w:rsidR="006C4991" w:rsidRPr="004D6381">
          <w:rPr>
            <w:rStyle w:val="Hyperlink"/>
            <w:highlight w:val="yellow"/>
            <w:lang w:val="en-GB"/>
          </w:rPr>
          <w:t>Guidelines of the Committee of Ministers of the Council of Europe on t</w:t>
        </w:r>
        <w:hyperlink r:id="rId47" w:history="1">
          <w:r w:rsidR="006C4991" w:rsidRPr="004D6381">
            <w:rPr>
              <w:rStyle w:val="Hyperlink"/>
              <w:highlight w:val="yellow"/>
              <w:lang w:val="en-GB"/>
            </w:rPr>
            <w:t>he efficiency and the effectiveness of legal aid schemes in the areas of civil and administrative law</w:t>
          </w:r>
        </w:hyperlink>
      </w:hyperlink>
    </w:p>
    <w:p w14:paraId="79B64B87" w14:textId="77777777" w:rsidR="006C4991" w:rsidRPr="004D6381" w:rsidRDefault="006C4991" w:rsidP="006C4991">
      <w:pPr>
        <w:rPr>
          <w:rStyle w:val="Hyperlink"/>
          <w:highlight w:val="yellow"/>
          <w:lang w:val="en-GB"/>
        </w:rPr>
      </w:pPr>
    </w:p>
    <w:p w14:paraId="617C7B98" w14:textId="77777777" w:rsidR="006C4991" w:rsidRPr="004D6381" w:rsidRDefault="006C4991" w:rsidP="006C4991">
      <w:pPr>
        <w:pStyle w:val="Heading2"/>
        <w:shd w:val="clear" w:color="auto" w:fill="FFFFFF"/>
        <w:spacing w:before="0"/>
        <w:rPr>
          <w:rFonts w:asciiTheme="minorHAnsi" w:hAnsiTheme="minorHAnsi" w:cstheme="minorHAnsi"/>
          <w:color w:val="auto"/>
          <w:sz w:val="20"/>
          <w:szCs w:val="20"/>
          <w:highlight w:val="yellow"/>
          <w:lang w:val="en-US"/>
        </w:rPr>
      </w:pPr>
      <w:r w:rsidRPr="004D6381">
        <w:rPr>
          <w:rFonts w:asciiTheme="minorHAnsi" w:hAnsiTheme="minorHAnsi" w:cstheme="minorHAnsi"/>
          <w:color w:val="auto"/>
          <w:sz w:val="20"/>
          <w:szCs w:val="20"/>
          <w:highlight w:val="yellow"/>
          <w:lang w:val="en-US"/>
        </w:rPr>
        <w:t>European Committee on Legal Co-operation (CDCJ)</w:t>
      </w:r>
    </w:p>
    <w:p w14:paraId="7F9E524D" w14:textId="77777777" w:rsidR="006C4991" w:rsidRPr="004D6381" w:rsidRDefault="003E00FF" w:rsidP="006C4991">
      <w:pPr>
        <w:rPr>
          <w:rStyle w:val="Hyperlink"/>
          <w:lang w:val="en-GB"/>
        </w:rPr>
      </w:pPr>
      <w:hyperlink r:id="rId48" w:history="1">
        <w:hyperlink r:id="rId49" w:history="1">
          <w:r w:rsidR="006C4991" w:rsidRPr="004D6381">
            <w:rPr>
              <w:rStyle w:val="Hyperlink"/>
              <w:highlight w:val="yellow"/>
              <w:lang w:val="en-GB"/>
            </w:rPr>
            <w:t>Study on the feasibility of a new, binding or non-binding, European legal instrument</w:t>
          </w:r>
        </w:hyperlink>
        <w:r w:rsidR="006C4991" w:rsidRPr="004D6381">
          <w:rPr>
            <w:rStyle w:val="Hyperlink"/>
            <w:highlight w:val="yellow"/>
            <w:lang w:val="en-GB"/>
          </w:rPr>
          <w:t xml:space="preserve"> on the profession of lawyer: possible added-value and effectiveness</w:t>
        </w:r>
      </w:hyperlink>
    </w:p>
    <w:p w14:paraId="77C85D3D" w14:textId="77777777" w:rsidR="006C4991" w:rsidRPr="004D6381" w:rsidRDefault="006C4991" w:rsidP="006C4991">
      <w:pPr>
        <w:pStyle w:val="Default"/>
        <w:rPr>
          <w:color w:val="auto"/>
          <w:sz w:val="20"/>
          <w:szCs w:val="20"/>
          <w:lang w:val="en-GB"/>
        </w:rPr>
      </w:pPr>
    </w:p>
    <w:p w14:paraId="5CADE45F" w14:textId="77777777" w:rsidR="006C4991" w:rsidRPr="004D6381" w:rsidRDefault="006C4991" w:rsidP="006C4991">
      <w:pPr>
        <w:pStyle w:val="Heading2"/>
        <w:shd w:val="clear" w:color="auto" w:fill="FFFFFF"/>
        <w:spacing w:before="0"/>
        <w:rPr>
          <w:rFonts w:asciiTheme="minorHAnsi" w:hAnsiTheme="minorHAnsi" w:cstheme="minorHAnsi"/>
          <w:color w:val="auto"/>
          <w:sz w:val="20"/>
          <w:szCs w:val="20"/>
          <w:highlight w:val="yellow"/>
          <w:lang w:val="en-US"/>
        </w:rPr>
      </w:pPr>
      <w:r w:rsidRPr="004D6381">
        <w:rPr>
          <w:rFonts w:asciiTheme="minorHAnsi" w:hAnsiTheme="minorHAnsi" w:cstheme="minorHAnsi"/>
          <w:color w:val="auto"/>
          <w:sz w:val="20"/>
          <w:szCs w:val="20"/>
          <w:highlight w:val="yellow"/>
          <w:lang w:val="en-US"/>
        </w:rPr>
        <w:t>Consultative Council of European Judges (CCJE)</w:t>
      </w:r>
    </w:p>
    <w:p w14:paraId="161EEA0E" w14:textId="77777777" w:rsidR="006C4991" w:rsidRPr="004D6381" w:rsidRDefault="003E00FF" w:rsidP="006C4991">
      <w:pPr>
        <w:rPr>
          <w:rStyle w:val="Hyperlink"/>
          <w:highlight w:val="yellow"/>
          <w:lang w:val="en-GB"/>
        </w:rPr>
      </w:pPr>
      <w:hyperlink r:id="rId50" w:history="1">
        <w:r w:rsidR="006C4991" w:rsidRPr="004D6381">
          <w:rPr>
            <w:rStyle w:val="Hyperlink"/>
            <w:highlight w:val="yellow"/>
            <w:lang w:val="en-GB"/>
          </w:rPr>
          <w:t>Collection of the CCJE Opinions Nos. 1 to 23 (2001 – 2020)</w:t>
        </w:r>
      </w:hyperlink>
    </w:p>
    <w:p w14:paraId="3B05D0E3" w14:textId="77777777" w:rsidR="006C4991" w:rsidRPr="004D6381" w:rsidRDefault="006C4991" w:rsidP="006C4991">
      <w:pPr>
        <w:pStyle w:val="COEHI"/>
        <w:numPr>
          <w:ilvl w:val="0"/>
          <w:numId w:val="0"/>
        </w:numPr>
        <w:ind w:left="960"/>
        <w:rPr>
          <w:sz w:val="20"/>
          <w:szCs w:val="20"/>
          <w:highlight w:val="yellow"/>
          <w:lang w:val="en-GB"/>
        </w:rPr>
      </w:pPr>
    </w:p>
    <w:p w14:paraId="692B57F9" w14:textId="77777777" w:rsidR="006C4991" w:rsidRPr="004D6381" w:rsidRDefault="006C4991" w:rsidP="006C4991">
      <w:pPr>
        <w:pStyle w:val="Heading2"/>
        <w:shd w:val="clear" w:color="auto" w:fill="FFFFFF"/>
        <w:spacing w:before="0"/>
        <w:rPr>
          <w:rFonts w:asciiTheme="minorHAnsi" w:hAnsiTheme="minorHAnsi" w:cstheme="minorHAnsi"/>
          <w:color w:val="auto"/>
          <w:sz w:val="20"/>
          <w:szCs w:val="20"/>
          <w:highlight w:val="yellow"/>
          <w:lang w:val="en-US"/>
        </w:rPr>
      </w:pPr>
      <w:r w:rsidRPr="004D6381">
        <w:rPr>
          <w:rFonts w:asciiTheme="minorHAnsi" w:hAnsiTheme="minorHAnsi" w:cstheme="minorHAnsi"/>
          <w:color w:val="auto"/>
          <w:sz w:val="20"/>
          <w:szCs w:val="20"/>
          <w:highlight w:val="yellow"/>
          <w:lang w:val="en-US"/>
        </w:rPr>
        <w:t>Consultative Council of European Judges (CCJE)</w:t>
      </w:r>
    </w:p>
    <w:p w14:paraId="3EDADE8C" w14:textId="77777777" w:rsidR="006C4991" w:rsidRPr="004D6381" w:rsidRDefault="003E00FF" w:rsidP="006C4991">
      <w:pPr>
        <w:rPr>
          <w:rStyle w:val="Hyperlink"/>
          <w:highlight w:val="yellow"/>
          <w:lang w:val="en-GB"/>
        </w:rPr>
      </w:pPr>
      <w:hyperlink r:id="rId51" w:history="1">
        <w:r w:rsidR="006C4991" w:rsidRPr="004D6381">
          <w:rPr>
            <w:rStyle w:val="Hyperlink"/>
            <w:highlight w:val="yellow"/>
            <w:lang w:val="en-GB"/>
          </w:rPr>
          <w:t>CCJE Opinion n°24 (2021 on the evolution of the Councils for the Judiciary and their role in independent and impartial judicial systems</w:t>
        </w:r>
      </w:hyperlink>
    </w:p>
    <w:p w14:paraId="6D987AB2" w14:textId="77777777" w:rsidR="006C4991" w:rsidRPr="004D6381" w:rsidRDefault="006C4991" w:rsidP="006C4991">
      <w:pPr>
        <w:pStyle w:val="Default"/>
        <w:rPr>
          <w:color w:val="auto"/>
          <w:sz w:val="20"/>
          <w:szCs w:val="20"/>
          <w:highlight w:val="yellow"/>
          <w:lang w:val="en-US"/>
        </w:rPr>
      </w:pPr>
    </w:p>
    <w:p w14:paraId="0DA7F6B4" w14:textId="77777777" w:rsidR="006C4991" w:rsidRPr="004D6381" w:rsidRDefault="006C4991" w:rsidP="006C4991">
      <w:pPr>
        <w:pStyle w:val="Heading2"/>
        <w:shd w:val="clear" w:color="auto" w:fill="FFFFFF"/>
        <w:spacing w:before="0"/>
        <w:rPr>
          <w:rFonts w:asciiTheme="minorHAnsi" w:hAnsiTheme="minorHAnsi" w:cstheme="minorHAnsi"/>
          <w:color w:val="auto"/>
          <w:sz w:val="20"/>
          <w:szCs w:val="20"/>
          <w:highlight w:val="yellow"/>
          <w:lang w:val="en-US"/>
        </w:rPr>
      </w:pPr>
      <w:r w:rsidRPr="004D6381">
        <w:rPr>
          <w:rFonts w:asciiTheme="minorHAnsi" w:hAnsiTheme="minorHAnsi" w:cstheme="minorHAnsi"/>
          <w:color w:val="auto"/>
          <w:sz w:val="20"/>
          <w:szCs w:val="20"/>
          <w:highlight w:val="yellow"/>
          <w:lang w:val="en-US"/>
        </w:rPr>
        <w:t>Consultative Council of European Prosecutors (CCPE)</w:t>
      </w:r>
    </w:p>
    <w:p w14:paraId="7FB00A90" w14:textId="77777777" w:rsidR="006C4991" w:rsidRPr="004D6381" w:rsidRDefault="003E00FF" w:rsidP="006C4991">
      <w:pPr>
        <w:rPr>
          <w:rStyle w:val="Hyperlink"/>
          <w:highlight w:val="yellow"/>
          <w:lang w:val="en-GB"/>
        </w:rPr>
      </w:pPr>
      <w:hyperlink r:id="rId52" w:history="1">
        <w:r w:rsidR="006C4991" w:rsidRPr="004D6381">
          <w:rPr>
            <w:rStyle w:val="Hyperlink"/>
            <w:highlight w:val="yellow"/>
            <w:lang w:val="en-GB"/>
          </w:rPr>
          <w:t>Collection of the CCPE Opinions Nos. 1 to 16 (2007 – 2021)</w:t>
        </w:r>
      </w:hyperlink>
    </w:p>
    <w:p w14:paraId="1F9238D7" w14:textId="77777777" w:rsidR="006C4991" w:rsidRPr="004D6381" w:rsidRDefault="006C4991" w:rsidP="006C4991">
      <w:pPr>
        <w:pStyle w:val="COEHI"/>
        <w:numPr>
          <w:ilvl w:val="0"/>
          <w:numId w:val="0"/>
        </w:numPr>
        <w:ind w:left="960"/>
        <w:rPr>
          <w:sz w:val="20"/>
          <w:szCs w:val="20"/>
          <w:highlight w:val="yellow"/>
          <w:lang w:val="en-GB"/>
        </w:rPr>
      </w:pPr>
    </w:p>
    <w:p w14:paraId="479B53C4" w14:textId="77777777" w:rsidR="006C4991" w:rsidRPr="004D6381" w:rsidRDefault="006C4991" w:rsidP="006C4991">
      <w:pPr>
        <w:pStyle w:val="Heading2"/>
        <w:shd w:val="clear" w:color="auto" w:fill="FFFFFF"/>
        <w:spacing w:before="0"/>
        <w:rPr>
          <w:rFonts w:asciiTheme="minorHAnsi" w:hAnsiTheme="minorHAnsi" w:cstheme="minorHAnsi"/>
          <w:color w:val="auto"/>
          <w:sz w:val="20"/>
          <w:szCs w:val="20"/>
          <w:highlight w:val="yellow"/>
          <w:lang w:val="en-US"/>
        </w:rPr>
      </w:pPr>
      <w:r w:rsidRPr="004D6381">
        <w:rPr>
          <w:rFonts w:asciiTheme="minorHAnsi" w:hAnsiTheme="minorHAnsi" w:cstheme="minorHAnsi"/>
          <w:color w:val="auto"/>
          <w:sz w:val="20"/>
          <w:szCs w:val="20"/>
          <w:highlight w:val="yellow"/>
          <w:lang w:val="en-US"/>
        </w:rPr>
        <w:lastRenderedPageBreak/>
        <w:t>Consultative Council of European Prosecutors (CCPE)</w:t>
      </w:r>
    </w:p>
    <w:p w14:paraId="2CE960DE" w14:textId="77777777" w:rsidR="006C4991" w:rsidRDefault="003E00FF" w:rsidP="006C4991">
      <w:pPr>
        <w:rPr>
          <w:rStyle w:val="Hyperlink"/>
          <w:highlight w:val="yellow"/>
          <w:lang w:val="en-GB"/>
        </w:rPr>
      </w:pPr>
      <w:hyperlink r:id="rId53" w:history="1">
        <w:r w:rsidR="006C4991">
          <w:rPr>
            <w:rStyle w:val="Hyperlink"/>
            <w:sz w:val="22"/>
            <w:szCs w:val="22"/>
            <w:highlight w:val="yellow"/>
            <w:lang w:val="en-GB"/>
          </w:rPr>
          <w:t>CCPE Opinion No. 16 (2021) on the implications of the decisions of international courts and treaty bodies as regards the practical independence of prosecutors</w:t>
        </w:r>
      </w:hyperlink>
    </w:p>
    <w:p w14:paraId="274F6FDE" w14:textId="2D835C5C" w:rsidR="00EF1D14" w:rsidRPr="006C4991" w:rsidRDefault="00EF1D14" w:rsidP="00EF1D14">
      <w:pPr>
        <w:rPr>
          <w:lang w:val="en-GB"/>
        </w:rPr>
      </w:pPr>
    </w:p>
    <w:p w14:paraId="40844BDA" w14:textId="77777777" w:rsidR="00EF1D14" w:rsidRDefault="00EF1D14" w:rsidP="00EF1D14">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2E5EC1DD" w14:textId="77777777" w:rsidR="00EF1D14" w:rsidRPr="00F80B1E" w:rsidRDefault="00EF1D14" w:rsidP="00EF1D14">
      <w:pPr>
        <w:pStyle w:val="Heading2"/>
        <w:shd w:val="clear" w:color="auto" w:fill="FFFFFF"/>
        <w:spacing w:before="0"/>
        <w:rPr>
          <w:rFonts w:asciiTheme="minorHAnsi" w:hAnsiTheme="minorHAnsi" w:cstheme="minorHAnsi"/>
          <w:color w:val="auto"/>
          <w:sz w:val="20"/>
          <w:szCs w:val="20"/>
          <w:lang w:val="en-US"/>
        </w:rPr>
      </w:pPr>
      <w:r w:rsidRPr="00F80B1E">
        <w:rPr>
          <w:rFonts w:asciiTheme="minorHAnsi" w:hAnsiTheme="minorHAnsi" w:cstheme="minorHAnsi"/>
          <w:color w:val="auto"/>
          <w:sz w:val="20"/>
          <w:szCs w:val="20"/>
          <w:lang w:val="en-US"/>
        </w:rPr>
        <w:t>Democracies facing the Covid-19 pandemic</w:t>
      </w:r>
    </w:p>
    <w:p w14:paraId="044002B2" w14:textId="77777777" w:rsidR="00EF1D14" w:rsidRPr="00F80B1E" w:rsidRDefault="00EF1D14" w:rsidP="00EF1D14">
      <w:pPr>
        <w:jc w:val="both"/>
        <w:rPr>
          <w:rFonts w:cstheme="minorHAnsi"/>
          <w:color w:val="161616"/>
          <w:shd w:val="clear" w:color="auto" w:fill="FFFFFF"/>
          <w:lang w:val="en-US"/>
        </w:rPr>
      </w:pPr>
      <w:proofErr w:type="gramStart"/>
      <w:r w:rsidRPr="00F80B1E">
        <w:rPr>
          <w:rFonts w:cstheme="minorHAnsi"/>
          <w:lang w:val="en-US"/>
        </w:rPr>
        <w:t>Rapporteur :</w:t>
      </w:r>
      <w:proofErr w:type="gramEnd"/>
      <w:r w:rsidRPr="00F80B1E">
        <w:rPr>
          <w:rFonts w:cstheme="minorHAnsi"/>
          <w:lang w:val="en-US"/>
        </w:rPr>
        <w:t xml:space="preserve"> </w:t>
      </w:r>
      <w:hyperlink r:id="rId54" w:history="1">
        <w:proofErr w:type="spellStart"/>
        <w:r w:rsidRPr="00F80B1E">
          <w:rPr>
            <w:rStyle w:val="Hyperlink"/>
            <w:rFonts w:cstheme="minorHAnsi"/>
            <w:color w:val="161616"/>
            <w:shd w:val="clear" w:color="auto" w:fill="FFFFFF"/>
            <w:lang w:val="en-US"/>
          </w:rPr>
          <w:t>Mr</w:t>
        </w:r>
        <w:proofErr w:type="spellEnd"/>
        <w:r w:rsidRPr="00F80B1E">
          <w:rPr>
            <w:rStyle w:val="Hyperlink"/>
            <w:rFonts w:cstheme="minorHAnsi"/>
            <w:color w:val="161616"/>
            <w:shd w:val="clear" w:color="auto" w:fill="FFFFFF"/>
            <w:lang w:val="en-US"/>
          </w:rPr>
          <w:t xml:space="preserve"> Ian LIDDELL-GRAINGER</w:t>
        </w:r>
      </w:hyperlink>
      <w:r w:rsidRPr="00F80B1E">
        <w:rPr>
          <w:rFonts w:cstheme="minorHAnsi"/>
          <w:color w:val="161616"/>
          <w:shd w:val="clear" w:color="auto" w:fill="FFFFFF"/>
          <w:lang w:val="en-US"/>
        </w:rPr>
        <w:t>, United Kingdom, EC/DA</w:t>
      </w:r>
    </w:p>
    <w:p w14:paraId="26B41E1D" w14:textId="77777777" w:rsidR="00EF1D14" w:rsidRPr="00F80B1E" w:rsidRDefault="003E00FF" w:rsidP="00EF1D14">
      <w:pPr>
        <w:jc w:val="both"/>
        <w:rPr>
          <w:rFonts w:cstheme="minorHAnsi"/>
          <w:color w:val="161616"/>
          <w:shd w:val="clear" w:color="auto" w:fill="FFFFFF"/>
          <w:lang w:val="en-US"/>
        </w:rPr>
      </w:pPr>
      <w:hyperlink r:id="rId55" w:history="1">
        <w:r w:rsidR="00EF1D14" w:rsidRPr="00F80B1E">
          <w:rPr>
            <w:rStyle w:val="Hyperlink"/>
            <w:rFonts w:cstheme="minorHAnsi"/>
            <w:shd w:val="clear" w:color="auto" w:fill="FFFFFF"/>
            <w:lang w:val="en-GB"/>
          </w:rPr>
          <w:t>Doc. 15157</w:t>
        </w:r>
      </w:hyperlink>
    </w:p>
    <w:p w14:paraId="66F401E5" w14:textId="77777777" w:rsidR="00EF1D14" w:rsidRPr="00F80B1E" w:rsidRDefault="00EF1D14" w:rsidP="00EF1D14">
      <w:pPr>
        <w:pStyle w:val="Default"/>
        <w:rPr>
          <w:color w:val="auto"/>
          <w:sz w:val="22"/>
          <w:szCs w:val="22"/>
          <w:lang w:val="en-US"/>
        </w:rPr>
      </w:pPr>
    </w:p>
    <w:p w14:paraId="19A6D22E" w14:textId="77777777" w:rsidR="0061659B" w:rsidRPr="00F80B1E" w:rsidRDefault="0061659B" w:rsidP="0061659B">
      <w:pPr>
        <w:pStyle w:val="Heading2"/>
        <w:shd w:val="clear" w:color="auto" w:fill="FFFFFF"/>
        <w:spacing w:before="0"/>
        <w:rPr>
          <w:rFonts w:asciiTheme="minorHAnsi" w:hAnsiTheme="minorHAnsi" w:cstheme="minorHAnsi"/>
          <w:color w:val="auto"/>
          <w:sz w:val="20"/>
          <w:szCs w:val="20"/>
          <w:lang w:val="en-US"/>
        </w:rPr>
      </w:pPr>
      <w:bookmarkStart w:id="14" w:name="_Hlk65486542"/>
      <w:r w:rsidRPr="00F80B1E">
        <w:rPr>
          <w:rFonts w:asciiTheme="minorHAnsi" w:hAnsiTheme="minorHAnsi" w:cstheme="minorHAnsi"/>
          <w:color w:val="auto"/>
          <w:sz w:val="20"/>
          <w:szCs w:val="20"/>
          <w:lang w:val="en-US"/>
        </w:rPr>
        <w:t>Consultative Council of European Judges (CCJE)</w:t>
      </w:r>
    </w:p>
    <w:p w14:paraId="2FD9FBF7" w14:textId="77777777" w:rsidR="0061659B" w:rsidRPr="00F80B1E" w:rsidRDefault="0061659B" w:rsidP="0061659B">
      <w:pPr>
        <w:rPr>
          <w:rFonts w:cstheme="minorHAnsi"/>
          <w:lang w:val="en-GB"/>
        </w:rPr>
      </w:pPr>
      <w:r w:rsidRPr="00F80B1E">
        <w:rPr>
          <w:rFonts w:cstheme="minorHAnsi"/>
          <w:lang w:val="en-GB"/>
        </w:rPr>
        <w:t>Statement by the President of the CCJE on the role of judges during and in the aftermath of the COVID-19 pandemic: lessons and challenges (24 June 2020)</w:t>
      </w:r>
    </w:p>
    <w:p w14:paraId="58A3F09F" w14:textId="77777777" w:rsidR="0061659B" w:rsidRPr="00F80B1E" w:rsidRDefault="003E00FF" w:rsidP="0061659B">
      <w:pPr>
        <w:rPr>
          <w:rFonts w:cstheme="minorHAnsi"/>
          <w:lang w:val="en-GB"/>
        </w:rPr>
      </w:pPr>
      <w:hyperlink r:id="rId56" w:history="1">
        <w:r w:rsidR="0061659B" w:rsidRPr="00F80B1E">
          <w:rPr>
            <w:rStyle w:val="Hyperlink"/>
            <w:rFonts w:cstheme="minorHAnsi"/>
            <w:lang w:val="en-GB"/>
          </w:rPr>
          <w:t>https://rm.coe.int/ccje-2020-2-statement-of-the-ccje-president-3-lessons-and-challenges-c/16809ed060</w:t>
        </w:r>
      </w:hyperlink>
    </w:p>
    <w:p w14:paraId="2452DEF4" w14:textId="77777777" w:rsidR="0061659B" w:rsidRPr="00F80B1E" w:rsidRDefault="0061659B" w:rsidP="0061659B">
      <w:pPr>
        <w:rPr>
          <w:rFonts w:cstheme="minorHAnsi"/>
          <w:lang w:val="en-GB"/>
        </w:rPr>
      </w:pPr>
    </w:p>
    <w:p w14:paraId="1A3FEC4B" w14:textId="77777777" w:rsidR="0061659B" w:rsidRPr="00F80B1E" w:rsidRDefault="0061659B" w:rsidP="0061659B">
      <w:pPr>
        <w:rPr>
          <w:rFonts w:ascii="Arial" w:hAnsi="Arial" w:cs="Arial"/>
          <w:lang w:val="en-GB"/>
        </w:rPr>
      </w:pPr>
    </w:p>
    <w:p w14:paraId="2158AED2" w14:textId="58E4F9D0" w:rsidR="0061659B" w:rsidRPr="00F80B1E" w:rsidRDefault="0061659B" w:rsidP="0061659B">
      <w:pPr>
        <w:rPr>
          <w:rFonts w:cstheme="minorHAnsi"/>
          <w:lang w:val="en-GB"/>
        </w:rPr>
      </w:pPr>
      <w:r w:rsidRPr="00F80B1E">
        <w:rPr>
          <w:rFonts w:cstheme="minorHAnsi"/>
          <w:lang w:val="en-GB"/>
        </w:rPr>
        <w:t xml:space="preserve">Opinion No. 23 (2020) of the CCJE on the role of associations of judges in supporting judicial independence (6 November 2020) </w:t>
      </w:r>
    </w:p>
    <w:p w14:paraId="62378342" w14:textId="77777777" w:rsidR="0061659B" w:rsidRPr="00F80B1E" w:rsidRDefault="003E00FF" w:rsidP="0061659B">
      <w:pPr>
        <w:pStyle w:val="Default"/>
        <w:rPr>
          <w:rFonts w:asciiTheme="minorHAnsi" w:hAnsiTheme="minorHAnsi" w:cstheme="minorHAnsi"/>
          <w:color w:val="auto"/>
          <w:sz w:val="20"/>
          <w:szCs w:val="20"/>
          <w:lang w:val="en-GB"/>
        </w:rPr>
      </w:pPr>
      <w:hyperlink r:id="rId57" w:history="1">
        <w:r w:rsidR="0061659B" w:rsidRPr="00F80B1E">
          <w:rPr>
            <w:rStyle w:val="Hyperlink"/>
            <w:rFonts w:asciiTheme="minorHAnsi" w:hAnsiTheme="minorHAnsi" w:cstheme="minorHAnsi"/>
            <w:sz w:val="20"/>
            <w:szCs w:val="20"/>
            <w:lang w:val="en-GB"/>
          </w:rPr>
          <w:t>https://rm.coe.int/opinion-23-en-ccje-2020/1680a03d4b</w:t>
        </w:r>
      </w:hyperlink>
    </w:p>
    <w:p w14:paraId="06B35412" w14:textId="77777777" w:rsidR="0061659B" w:rsidRPr="00F80B1E" w:rsidRDefault="0061659B" w:rsidP="0061659B">
      <w:pPr>
        <w:pStyle w:val="Default"/>
        <w:rPr>
          <w:color w:val="auto"/>
          <w:sz w:val="22"/>
          <w:szCs w:val="22"/>
          <w:lang w:val="en-GB"/>
        </w:rPr>
      </w:pPr>
    </w:p>
    <w:p w14:paraId="28ACE8E5" w14:textId="77777777" w:rsidR="0061659B" w:rsidRPr="00F80B1E" w:rsidRDefault="0061659B" w:rsidP="0061659B">
      <w:pPr>
        <w:rPr>
          <w:rFonts w:cstheme="minorHAnsi"/>
          <w:lang w:val="en-GB"/>
        </w:rPr>
      </w:pPr>
      <w:r w:rsidRPr="00F80B1E">
        <w:rPr>
          <w:rFonts w:cstheme="minorHAnsi"/>
          <w:lang w:val="en-GB"/>
        </w:rPr>
        <w:t>Consultative Council of European Prosecutors (CCPE)</w:t>
      </w:r>
    </w:p>
    <w:p w14:paraId="0C6F4F11" w14:textId="77777777" w:rsidR="0061659B" w:rsidRPr="00F80B1E" w:rsidRDefault="0061659B" w:rsidP="0061659B">
      <w:pPr>
        <w:rPr>
          <w:rFonts w:cstheme="minorHAnsi"/>
          <w:lang w:val="en-GB"/>
        </w:rPr>
      </w:pPr>
      <w:r w:rsidRPr="00F80B1E">
        <w:rPr>
          <w:rFonts w:cstheme="minorHAnsi"/>
          <w:lang w:val="en-GB"/>
        </w:rPr>
        <w:t xml:space="preserve">Opinion No. 15 (2020) of the CCPE on the role of prosecutors in emergency situations, </w:t>
      </w:r>
      <w:proofErr w:type="gramStart"/>
      <w:r w:rsidRPr="00F80B1E">
        <w:rPr>
          <w:rFonts w:cstheme="minorHAnsi"/>
          <w:lang w:val="en-GB"/>
        </w:rPr>
        <w:t>in particular when</w:t>
      </w:r>
      <w:proofErr w:type="gramEnd"/>
      <w:r w:rsidRPr="00F80B1E">
        <w:rPr>
          <w:rFonts w:cstheme="minorHAnsi"/>
          <w:lang w:val="en-GB"/>
        </w:rPr>
        <w:t xml:space="preserve"> facing a pandemic (19 November 2020) </w:t>
      </w:r>
    </w:p>
    <w:p w14:paraId="253909A8" w14:textId="77777777" w:rsidR="0061659B" w:rsidRDefault="003E00FF" w:rsidP="0061659B">
      <w:pPr>
        <w:pStyle w:val="Default"/>
        <w:rPr>
          <w:color w:val="auto"/>
          <w:sz w:val="22"/>
          <w:szCs w:val="22"/>
          <w:lang w:val="en-GB"/>
        </w:rPr>
      </w:pPr>
      <w:hyperlink r:id="rId58" w:history="1">
        <w:r w:rsidR="0061659B" w:rsidRPr="00F80B1E">
          <w:rPr>
            <w:rStyle w:val="Hyperlink"/>
            <w:sz w:val="22"/>
            <w:szCs w:val="22"/>
            <w:lang w:val="en-GB"/>
          </w:rPr>
          <w:t>https://rm.coe.int/opinion-no-15-ccpe-en/1680a05a1b</w:t>
        </w:r>
      </w:hyperlink>
      <w:bookmarkEnd w:id="14"/>
    </w:p>
    <w:p w14:paraId="39F99358" w14:textId="453F13D0" w:rsidR="00EF1D14" w:rsidRPr="0061659B" w:rsidRDefault="00EF1D14" w:rsidP="00EF1D14">
      <w:pPr>
        <w:pStyle w:val="Default"/>
        <w:rPr>
          <w:color w:val="auto"/>
          <w:sz w:val="22"/>
          <w:szCs w:val="22"/>
          <w:lang w:val="en-GB"/>
        </w:rPr>
      </w:pPr>
    </w:p>
    <w:p w14:paraId="300DA623" w14:textId="77777777" w:rsidR="00F80B1E" w:rsidRDefault="00F80B1E" w:rsidP="00F80B1E">
      <w:pPr>
        <w:pStyle w:val="Default"/>
        <w:rPr>
          <w:color w:val="auto"/>
          <w:sz w:val="20"/>
          <w:szCs w:val="20"/>
          <w:highlight w:val="yellow"/>
          <w:lang w:val="en-US"/>
        </w:rPr>
      </w:pPr>
      <w:r>
        <w:rPr>
          <w:color w:val="auto"/>
          <w:sz w:val="20"/>
          <w:szCs w:val="20"/>
          <w:highlight w:val="yellow"/>
          <w:lang w:val="en-US"/>
        </w:rPr>
        <w:t>GRECO</w:t>
      </w:r>
    </w:p>
    <w:p w14:paraId="16AB65E2" w14:textId="77777777" w:rsidR="00F80B1E" w:rsidRPr="00F80B1E" w:rsidRDefault="00F80B1E" w:rsidP="00F80B1E">
      <w:pPr>
        <w:pStyle w:val="Default"/>
        <w:rPr>
          <w:rStyle w:val="Hyperlink"/>
          <w:sz w:val="20"/>
          <w:szCs w:val="20"/>
          <w:highlight w:val="yellow"/>
          <w:lang w:val="en-GB"/>
        </w:rPr>
      </w:pPr>
      <w:r w:rsidRPr="00F80B1E">
        <w:rPr>
          <w:color w:val="auto"/>
          <w:sz w:val="20"/>
          <w:szCs w:val="20"/>
          <w:highlight w:val="yellow"/>
          <w:lang w:val="en-GB"/>
        </w:rPr>
        <w:t xml:space="preserve">9 December 2021 - </w:t>
      </w:r>
      <w:hyperlink r:id="rId59" w:history="1">
        <w:r w:rsidRPr="00F80B1E">
          <w:rPr>
            <w:rStyle w:val="Hyperlink"/>
            <w:sz w:val="20"/>
            <w:szCs w:val="20"/>
            <w:highlight w:val="yellow"/>
            <w:lang w:val="en-GB"/>
          </w:rPr>
          <w:t>International Anti-Corruption Day 2021 - Newsroom (coe.int)</w:t>
        </w:r>
      </w:hyperlink>
      <w:r w:rsidRPr="00F80B1E">
        <w:rPr>
          <w:rStyle w:val="Hyperlink"/>
          <w:sz w:val="20"/>
          <w:szCs w:val="20"/>
          <w:highlight w:val="yellow"/>
          <w:lang w:val="en-GB"/>
        </w:rPr>
        <w:t xml:space="preserve"> </w:t>
      </w:r>
    </w:p>
    <w:p w14:paraId="4870486C" w14:textId="77777777" w:rsidR="00F80B1E" w:rsidRPr="00F80B1E" w:rsidRDefault="00F80B1E" w:rsidP="00F80B1E">
      <w:pPr>
        <w:pStyle w:val="Default"/>
        <w:rPr>
          <w:lang w:val="en-GB"/>
        </w:rPr>
      </w:pPr>
      <w:r>
        <w:rPr>
          <w:sz w:val="20"/>
          <w:szCs w:val="20"/>
          <w:highlight w:val="yellow"/>
          <w:lang w:val="en-GB"/>
        </w:rPr>
        <w:t>GRECO President: “Covid-19 related corruption risks remain </w:t>
      </w:r>
      <w:proofErr w:type="gramStart"/>
      <w:r>
        <w:rPr>
          <w:sz w:val="20"/>
          <w:szCs w:val="20"/>
          <w:highlight w:val="yellow"/>
          <w:lang w:val="en-GB"/>
        </w:rPr>
        <w:t>high,</w:t>
      </w:r>
      <w:proofErr w:type="gramEnd"/>
      <w:r>
        <w:rPr>
          <w:sz w:val="20"/>
          <w:szCs w:val="20"/>
          <w:highlight w:val="yellow"/>
          <w:lang w:val="en-GB"/>
        </w:rPr>
        <w:t> governments should respond quickly but lawfully to the pandemic”</w:t>
      </w:r>
    </w:p>
    <w:p w14:paraId="1FE7FCAA" w14:textId="77777777" w:rsidR="0061659B" w:rsidRPr="00F80B1E" w:rsidRDefault="0061659B" w:rsidP="00EF1D14">
      <w:pPr>
        <w:pStyle w:val="Default"/>
        <w:rPr>
          <w:color w:val="auto"/>
          <w:sz w:val="22"/>
          <w:szCs w:val="22"/>
          <w:lang w:val="en-GB"/>
        </w:rPr>
      </w:pPr>
    </w:p>
    <w:p w14:paraId="2EA1CD74" w14:textId="77777777" w:rsidR="00EF1D14" w:rsidRPr="00F80B1E" w:rsidRDefault="00EF1D14" w:rsidP="00EF1D14">
      <w:pPr>
        <w:pStyle w:val="Default"/>
        <w:rPr>
          <w:color w:val="auto"/>
          <w:sz w:val="20"/>
          <w:szCs w:val="20"/>
          <w:lang w:val="en-US"/>
        </w:rPr>
      </w:pPr>
      <w:r w:rsidRPr="00F80B1E">
        <w:rPr>
          <w:color w:val="auto"/>
          <w:sz w:val="20"/>
          <w:szCs w:val="20"/>
          <w:lang w:val="en-US"/>
        </w:rPr>
        <w:t>GRECO</w:t>
      </w:r>
    </w:p>
    <w:p w14:paraId="10539CEE" w14:textId="77777777" w:rsidR="00EF1D14" w:rsidRPr="00F80B1E" w:rsidRDefault="003E00FF" w:rsidP="00EF1D14">
      <w:pPr>
        <w:pStyle w:val="Default"/>
        <w:rPr>
          <w:sz w:val="20"/>
          <w:szCs w:val="20"/>
          <w:lang w:val="en-GB"/>
        </w:rPr>
      </w:pPr>
      <w:hyperlink r:id="rId60" w:history="1">
        <w:r w:rsidR="00EF1D14" w:rsidRPr="00F80B1E">
          <w:rPr>
            <w:rStyle w:val="Hyperlink"/>
            <w:sz w:val="20"/>
            <w:szCs w:val="20"/>
            <w:lang w:val="en-GB"/>
          </w:rPr>
          <w:t>9 December 2020 – International Anti-Corruption Day - Newsroom (coe.int)</w:t>
        </w:r>
      </w:hyperlink>
    </w:p>
    <w:p w14:paraId="72B81C5E" w14:textId="77777777" w:rsidR="00EF1D14" w:rsidRPr="000854F6" w:rsidRDefault="00EF1D14" w:rsidP="00EF1D14">
      <w:pPr>
        <w:pStyle w:val="Default"/>
        <w:rPr>
          <w:sz w:val="20"/>
          <w:szCs w:val="20"/>
          <w:lang w:val="en-GB"/>
        </w:rPr>
      </w:pPr>
      <w:r w:rsidRPr="00F80B1E">
        <w:rPr>
          <w:sz w:val="20"/>
          <w:szCs w:val="20"/>
          <w:lang w:val="en-GB"/>
        </w:rPr>
        <w:t>GRECO President: “No quarter to corruption in healthcare, governments must lead by example”</w:t>
      </w:r>
    </w:p>
    <w:p w14:paraId="237AFE8E" w14:textId="77777777" w:rsidR="00EF1D14" w:rsidRPr="00EF1D14" w:rsidRDefault="00EF1D14" w:rsidP="00EF1D14">
      <w:pPr>
        <w:rPr>
          <w:lang w:val="en-GB"/>
        </w:rPr>
      </w:pPr>
    </w:p>
    <w:p w14:paraId="14B9B4F9" w14:textId="77777777" w:rsidR="00120135" w:rsidRDefault="00120135" w:rsidP="001A23FF">
      <w:pPr>
        <w:rPr>
          <w:lang w:val="en-US"/>
        </w:rPr>
      </w:pPr>
    </w:p>
    <w:p w14:paraId="46FE9D3A" w14:textId="70B96DE4" w:rsidR="004A628B" w:rsidRPr="001A23FF" w:rsidRDefault="001A23FF" w:rsidP="001A23FF">
      <w:pPr>
        <w:rPr>
          <w:lang w:val="en-US"/>
        </w:rPr>
      </w:pPr>
      <w:r w:rsidRPr="001A23FF">
        <w:rPr>
          <w:lang w:val="en-US"/>
        </w:rPr>
        <w:t>CPT</w:t>
      </w:r>
    </w:p>
    <w:p w14:paraId="693BE796" w14:textId="60619F25" w:rsidR="001A23FF" w:rsidRPr="001A23FF" w:rsidRDefault="001A23FF" w:rsidP="001A23FF">
      <w:pPr>
        <w:rPr>
          <w:lang w:val="en-US"/>
        </w:rPr>
      </w:pPr>
      <w:r w:rsidRPr="001A23FF">
        <w:rPr>
          <w:lang w:val="en-US"/>
        </w:rPr>
        <w:t xml:space="preserve"> </w:t>
      </w:r>
      <w:r>
        <w:rPr>
          <w:lang w:val="en-US"/>
        </w:rPr>
        <w:t>R</w:t>
      </w:r>
      <w:r w:rsidRPr="001A23FF">
        <w:rPr>
          <w:lang w:val="en-US"/>
        </w:rPr>
        <w:t xml:space="preserve">eport on CPT’s 2017 periodic visit; </w:t>
      </w:r>
      <w:hyperlink r:id="rId61" w:history="1">
        <w:r w:rsidRPr="001A23FF">
          <w:rPr>
            <w:rStyle w:val="Hyperlink"/>
            <w:lang w:val="en-US"/>
          </w:rPr>
          <w:t>CPT/Inf (2018) 16</w:t>
        </w:r>
      </w:hyperlink>
      <w:r w:rsidRPr="001A23FF">
        <w:rPr>
          <w:lang w:val="en-US"/>
        </w:rPr>
        <w:t>, paras. 12, 37 and 38</w:t>
      </w:r>
    </w:p>
    <w:p w14:paraId="3A306086" w14:textId="77777777" w:rsidR="001A23FF" w:rsidRPr="001A23FF" w:rsidRDefault="001A23FF" w:rsidP="001A23FF">
      <w:pPr>
        <w:rPr>
          <w:lang w:val="en-US"/>
        </w:rPr>
      </w:pPr>
    </w:p>
    <w:p w14:paraId="6CF3D842" w14:textId="77777777" w:rsidR="001A23FF" w:rsidRPr="001A23FF" w:rsidRDefault="001A23FF" w:rsidP="001A23FF">
      <w:pPr>
        <w:jc w:val="both"/>
        <w:rPr>
          <w:lang w:val="en-US"/>
        </w:rPr>
      </w:pPr>
      <w:r w:rsidRPr="001A23FF">
        <w:rPr>
          <w:lang w:val="en-US"/>
        </w:rPr>
        <w:t>The right of access to a lawyer is mainly regulated in Sections 3 and 8 of the Law on the Rights of Arrested and Detained Persons (RADP) and has been formally reinforced by the March 2017 amendments.</w:t>
      </w:r>
    </w:p>
    <w:p w14:paraId="61BC452D" w14:textId="77777777" w:rsidR="001A23FF" w:rsidRPr="001A23FF" w:rsidRDefault="001A23FF" w:rsidP="001A23FF">
      <w:pPr>
        <w:jc w:val="both"/>
        <w:rPr>
          <w:lang w:val="en-US"/>
        </w:rPr>
      </w:pPr>
      <w:r w:rsidRPr="001A23FF">
        <w:rPr>
          <w:lang w:val="en-US"/>
        </w:rPr>
        <w:t xml:space="preserve">That said, the findings of the 2017 visit indicate that in practice there were no improvements with respect to the exercise of the right of access to a lawyer. A detailed examination of custody registers in </w:t>
      </w:r>
      <w:proofErr w:type="gramStart"/>
      <w:r w:rsidRPr="001A23FF">
        <w:rPr>
          <w:lang w:val="en-US"/>
        </w:rPr>
        <w:t>a number of</w:t>
      </w:r>
      <w:proofErr w:type="gramEnd"/>
      <w:r w:rsidRPr="001A23FF">
        <w:rPr>
          <w:lang w:val="en-US"/>
        </w:rPr>
        <w:t xml:space="preserve"> police stations visited revealed that only some 20% of persons detained by the police had actually benefited from access to a lawyer during their stay in police custody. One of the annexes of the booklet on rights contained a waiver of the right to legal assistance, which could be signed by the detainee. It was striking that, while only a minority of detainees were assisted by a lawyer, it was very rare to find a signed confirmation that they did not wish to make use of the services of a lawyer. </w:t>
      </w:r>
    </w:p>
    <w:p w14:paraId="0EB6AA17" w14:textId="77777777" w:rsidR="001A23FF" w:rsidRPr="001A23FF" w:rsidRDefault="001A23FF" w:rsidP="001A23FF">
      <w:pPr>
        <w:jc w:val="both"/>
        <w:rPr>
          <w:lang w:val="en-US"/>
        </w:rPr>
      </w:pPr>
      <w:r w:rsidRPr="001A23FF">
        <w:rPr>
          <w:lang w:val="en-US"/>
        </w:rPr>
        <w:t xml:space="preserve">Before the first court hearing, a detained person had to have the financial means </w:t>
      </w:r>
      <w:proofErr w:type="gramStart"/>
      <w:r w:rsidRPr="001A23FF">
        <w:rPr>
          <w:lang w:val="en-US"/>
        </w:rPr>
        <w:t>in order to</w:t>
      </w:r>
      <w:proofErr w:type="gramEnd"/>
      <w:r w:rsidRPr="001A23FF">
        <w:rPr>
          <w:lang w:val="en-US"/>
        </w:rPr>
        <w:t xml:space="preserve"> have access to a lawyer; even then, access was hindered in practice. From interviews carried out with both detained persons and lawyers, it emerged that detainees were being prevented by police officers from contacting a lawyer until they had made a written statement; representatives of the Bar Association confirmed that the presence of a lawyer was not permitted during police interviews. This is a fundamental protection gap, given that it is precisely during the period immediately following the deprivation of liberty that the risk of intimidation and ill-treatment is at its greatest. In this context, it is of paramount importance that the right of access to a lawyer includes the possibility of speaking with a lawyer in private as from the very outset of the deprivation of liberty; this is now guaranteed under the amended provisions of the RADP.  </w:t>
      </w:r>
    </w:p>
    <w:p w14:paraId="10A7E690" w14:textId="77777777" w:rsidR="001A23FF" w:rsidRPr="001A23FF" w:rsidRDefault="001A23FF" w:rsidP="001A23FF">
      <w:pPr>
        <w:jc w:val="both"/>
        <w:rPr>
          <w:lang w:val="en-US"/>
        </w:rPr>
      </w:pPr>
      <w:r w:rsidRPr="001A23FF">
        <w:rPr>
          <w:lang w:val="en-US"/>
        </w:rPr>
        <w:lastRenderedPageBreak/>
        <w:t xml:space="preserve">The system of legal aid is not effective in practice, </w:t>
      </w:r>
      <w:proofErr w:type="gramStart"/>
      <w:r w:rsidRPr="001A23FF">
        <w:rPr>
          <w:lang w:val="en-US"/>
        </w:rPr>
        <w:t>in particular for</w:t>
      </w:r>
      <w:proofErr w:type="gramEnd"/>
      <w:r w:rsidRPr="001A23FF">
        <w:rPr>
          <w:lang w:val="en-US"/>
        </w:rPr>
        <w:t xml:space="preserve"> foreign nationals. The fact that free legal aid for a person deprived of his/her liberty requires a decision from a court – subject to a “means and merits” test – before a lawyer can be assigned to the case, has the effect that legal aid is not available at the outset of deprivation of liberty […] Further, over the last six years since the introduction of legal aid for detention, only a handful of applications were successful, and foreign nationals are particularly disadvantaged.  Legal aid will never be granted before police interviews take place. </w:t>
      </w:r>
    </w:p>
    <w:p w14:paraId="1444CA41" w14:textId="77777777" w:rsidR="001A23FF" w:rsidRPr="001A23FF" w:rsidRDefault="001A23FF" w:rsidP="001A23FF">
      <w:pPr>
        <w:jc w:val="both"/>
        <w:rPr>
          <w:lang w:val="en-US"/>
        </w:rPr>
      </w:pPr>
      <w:r w:rsidRPr="001A23FF">
        <w:rPr>
          <w:lang w:val="en-US"/>
        </w:rPr>
        <w:t xml:space="preserve">The fact that legal aid is not available at the pre-trial stage was confirmed by the Bar Association </w:t>
      </w:r>
      <w:proofErr w:type="gramStart"/>
      <w:r w:rsidRPr="001A23FF">
        <w:rPr>
          <w:lang w:val="en-US"/>
        </w:rPr>
        <w:t>and also</w:t>
      </w:r>
      <w:proofErr w:type="gramEnd"/>
      <w:r w:rsidRPr="001A23FF">
        <w:rPr>
          <w:lang w:val="en-US"/>
        </w:rPr>
        <w:t xml:space="preserve"> acknowledged by the Attorney General. Consequently, indigent persons detained by the police, in respect of whom an ex officio lawyer had been appointed, were usually only able to meet that lawyer for the first time at the court hearing. Further, in practice, lawyers were only contacted shortly before the hearing. </w:t>
      </w:r>
    </w:p>
    <w:p w14:paraId="2E0FCBF9" w14:textId="77777777" w:rsidR="001A23FF" w:rsidRPr="001A23FF" w:rsidRDefault="001A23FF" w:rsidP="001A23FF">
      <w:pPr>
        <w:jc w:val="both"/>
        <w:rPr>
          <w:lang w:val="en-US"/>
        </w:rPr>
      </w:pPr>
      <w:r w:rsidRPr="001A23FF">
        <w:rPr>
          <w:lang w:val="en-US"/>
        </w:rPr>
        <w:t>Number of allegations of physical ill-treatment during police questioning.</w:t>
      </w:r>
    </w:p>
    <w:p w14:paraId="79582947" w14:textId="77777777" w:rsidR="001A23FF" w:rsidRPr="001A23FF" w:rsidRDefault="001A23FF" w:rsidP="001A23FF">
      <w:pPr>
        <w:rPr>
          <w:lang w:val="en-US"/>
        </w:rPr>
      </w:pPr>
    </w:p>
    <w:p w14:paraId="50860C30" w14:textId="77777777" w:rsidR="00785662" w:rsidRPr="00546B57" w:rsidRDefault="00785662"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5" w:name="_Toc36635823"/>
      <w:r w:rsidRPr="00546B57">
        <w:rPr>
          <w:lang w:val="en-US"/>
        </w:rPr>
        <w:t>B. Quality of justice</w:t>
      </w:r>
      <w:bookmarkEnd w:id="15"/>
    </w:p>
    <w:p w14:paraId="7A07D6AA" w14:textId="77777777" w:rsidR="004A628B" w:rsidRPr="00546B57" w:rsidRDefault="004A628B" w:rsidP="004A628B">
      <w:pPr>
        <w:pStyle w:val="Default"/>
        <w:rPr>
          <w:sz w:val="18"/>
          <w:szCs w:val="18"/>
          <w:lang w:val="en-US"/>
        </w:rPr>
      </w:pPr>
    </w:p>
    <w:p w14:paraId="458D3DE3" w14:textId="77777777" w:rsidR="00CF10CE" w:rsidRPr="00F80B1E" w:rsidRDefault="00CF10CE" w:rsidP="00CF10CE">
      <w:pPr>
        <w:rPr>
          <w:lang w:val="en-GB"/>
        </w:rPr>
      </w:pPr>
      <w:r w:rsidRPr="00F80B1E">
        <w:rPr>
          <w:lang w:val="en-GB"/>
        </w:rPr>
        <w:t xml:space="preserve">CEPEJ </w:t>
      </w:r>
    </w:p>
    <w:p w14:paraId="568C0069" w14:textId="77777777" w:rsidR="00CF10CE" w:rsidRPr="00F80B1E" w:rsidRDefault="00CF10CE" w:rsidP="00CF10CE">
      <w:pPr>
        <w:rPr>
          <w:color w:val="0563C1"/>
          <w:u w:val="single"/>
          <w:lang w:val="en-GB" w:eastAsia="fr-FR"/>
        </w:rPr>
      </w:pPr>
      <w:r w:rsidRPr="00F80B1E">
        <w:rPr>
          <w:rFonts w:eastAsia="Times New Roman"/>
          <w:lang w:val="en-GB"/>
        </w:rPr>
        <w:t>CEPEJ – Country profile Cyprus - Scoreboard (2019 data) (</w:t>
      </w:r>
      <w:r w:rsidRPr="00F80B1E">
        <w:rPr>
          <w:rFonts w:eastAsia="Times New Roman"/>
          <w:i/>
          <w:iCs/>
          <w:lang w:val="en-GB"/>
        </w:rPr>
        <w:t>content of the link will be available after acceptation of the CEPEJ Study for the Scoreboard by DG-Just</w:t>
      </w:r>
      <w:r w:rsidRPr="00F80B1E">
        <w:rPr>
          <w:rFonts w:eastAsia="Times New Roman"/>
          <w:lang w:val="en-GB"/>
        </w:rPr>
        <w:t>)</w:t>
      </w:r>
    </w:p>
    <w:p w14:paraId="53F898E8" w14:textId="77777777" w:rsidR="00CF10CE" w:rsidRPr="00F80B1E" w:rsidRDefault="003E00FF" w:rsidP="00CF10CE">
      <w:pPr>
        <w:rPr>
          <w:color w:val="0563C1"/>
          <w:u w:val="single"/>
          <w:lang w:val="en-GB" w:eastAsia="fr-FR"/>
        </w:rPr>
      </w:pPr>
      <w:hyperlink r:id="rId62" w:history="1">
        <w:r w:rsidR="00CF10CE" w:rsidRPr="00F80B1E">
          <w:rPr>
            <w:rStyle w:val="Hyperlink"/>
            <w:lang w:val="en-US" w:eastAsia="fr-FR"/>
          </w:rPr>
          <w:t>CEPEJ Country Profiles Cyprus Scoreboard</w:t>
        </w:r>
      </w:hyperlink>
    </w:p>
    <w:p w14:paraId="030ED12E" w14:textId="77777777" w:rsidR="00CF10CE" w:rsidRPr="00F80B1E" w:rsidRDefault="00CF10CE" w:rsidP="00CF10CE">
      <w:pPr>
        <w:pStyle w:val="ListParagraph"/>
        <w:ind w:left="360"/>
        <w:rPr>
          <w:rFonts w:eastAsia="Times New Roman"/>
          <w:lang w:val="en-US"/>
        </w:rPr>
      </w:pPr>
      <w:r w:rsidRPr="00F80B1E">
        <w:rPr>
          <w:rFonts w:eastAsia="Times New Roman"/>
          <w:lang w:val="en-US"/>
        </w:rPr>
        <w:t xml:space="preserve"> </w:t>
      </w:r>
    </w:p>
    <w:p w14:paraId="6A7B7D78" w14:textId="77777777" w:rsidR="00CF10CE" w:rsidRPr="00F80B1E" w:rsidRDefault="00CF10CE" w:rsidP="00CF10CE">
      <w:pPr>
        <w:rPr>
          <w:lang w:val="en-US"/>
        </w:rPr>
      </w:pPr>
      <w:r w:rsidRPr="00F80B1E">
        <w:rPr>
          <w:rFonts w:eastAsia="Times New Roman"/>
          <w:lang w:val="en-GB"/>
        </w:rPr>
        <w:t>CEPEJ European Judicial Systems Evaluation Report – Evaluation cycle 2018-2020 (2018 data) – Part 2 Country profile Cyprus</w:t>
      </w:r>
    </w:p>
    <w:p w14:paraId="1E89416F" w14:textId="77777777" w:rsidR="00CF10CE" w:rsidRPr="00F80B1E" w:rsidRDefault="003E00FF" w:rsidP="00CF10CE">
      <w:pPr>
        <w:rPr>
          <w:lang w:val="en-US"/>
        </w:rPr>
      </w:pPr>
      <w:hyperlink r:id="rId63" w:anchor="!/vizhome/CEPEJ-Countryprofilev1_0EN/CountryProfileA4part1?CountryParam=Cyprus" w:history="1">
        <w:r w:rsidR="00CF10CE" w:rsidRPr="00F80B1E">
          <w:rPr>
            <w:rStyle w:val="Hyperlink"/>
            <w:lang w:val="en-US"/>
          </w:rPr>
          <w:t>CEPEJ Evaluation Report - Country Profiles - Cyprus</w:t>
        </w:r>
      </w:hyperlink>
      <w:r w:rsidR="00CF10CE" w:rsidRPr="00F80B1E">
        <w:rPr>
          <w:lang w:val="en-US"/>
        </w:rPr>
        <w:t xml:space="preserve"> </w:t>
      </w:r>
    </w:p>
    <w:p w14:paraId="12A00BD4" w14:textId="77777777" w:rsidR="00CF10CE" w:rsidRPr="00F80B1E" w:rsidRDefault="00CF10CE" w:rsidP="00CF10CE">
      <w:pPr>
        <w:pStyle w:val="ListParagraph"/>
        <w:ind w:left="360"/>
        <w:rPr>
          <w:lang w:val="en-US"/>
        </w:rPr>
      </w:pPr>
    </w:p>
    <w:p w14:paraId="20F288F4" w14:textId="77777777" w:rsidR="00CF10CE" w:rsidRPr="00F80B1E" w:rsidRDefault="00CF10CE" w:rsidP="00CF10CE">
      <w:pPr>
        <w:rPr>
          <w:rFonts w:eastAsia="Times New Roman"/>
          <w:lang w:val="en-US"/>
        </w:rPr>
      </w:pPr>
      <w:r w:rsidRPr="00F80B1E">
        <w:rPr>
          <w:rFonts w:eastAsia="Times New Roman"/>
          <w:lang w:val="en-GB"/>
        </w:rPr>
        <w:t xml:space="preserve">CEPEJ website – General Country profile Cyprus (including answers to the Evaluation Scheme) </w:t>
      </w:r>
    </w:p>
    <w:p w14:paraId="137CB051" w14:textId="77777777" w:rsidR="00CF10CE" w:rsidRPr="00F80B1E" w:rsidRDefault="003E00FF" w:rsidP="00CF10CE">
      <w:pPr>
        <w:rPr>
          <w:lang w:val="en-GB"/>
        </w:rPr>
      </w:pPr>
      <w:hyperlink r:id="rId64" w:history="1">
        <w:r w:rsidR="00CF10CE" w:rsidRPr="00F80B1E">
          <w:rPr>
            <w:rStyle w:val="Hyperlink"/>
            <w:lang w:val="en-GB"/>
          </w:rPr>
          <w:t xml:space="preserve">General CEPEJ Country profile </w:t>
        </w:r>
      </w:hyperlink>
      <w:r w:rsidR="00CF10CE" w:rsidRPr="00F80B1E">
        <w:rPr>
          <w:lang w:val="en-GB"/>
        </w:rPr>
        <w:t xml:space="preserve"> </w:t>
      </w:r>
    </w:p>
    <w:p w14:paraId="3184C554" w14:textId="77777777" w:rsidR="00CF10CE" w:rsidRPr="00F80B1E" w:rsidRDefault="00CF10CE" w:rsidP="00CF10CE">
      <w:pPr>
        <w:pStyle w:val="ListParagraph"/>
        <w:ind w:left="360"/>
        <w:rPr>
          <w:rFonts w:eastAsia="Times New Roman"/>
          <w:lang w:val="en-GB"/>
        </w:rPr>
      </w:pPr>
    </w:p>
    <w:p w14:paraId="4D93004E" w14:textId="77777777" w:rsidR="00CF10CE" w:rsidRPr="00F80B1E" w:rsidRDefault="00CF10CE" w:rsidP="00CF10CE">
      <w:pPr>
        <w:rPr>
          <w:rFonts w:eastAsia="Times New Roman"/>
          <w:lang w:val="en-GB"/>
        </w:rPr>
      </w:pPr>
      <w:r w:rsidRPr="00F80B1E">
        <w:rPr>
          <w:rFonts w:eastAsia="Times New Roman"/>
          <w:lang w:val="en-GB"/>
        </w:rPr>
        <w:t xml:space="preserve">European Judicial Systems CEPEJ Evaluation Report – Evaluation cycle 2018-2020 (2018 data) – Part 1 Tables, </w:t>
      </w:r>
      <w:proofErr w:type="gramStart"/>
      <w:r w:rsidRPr="00F80B1E">
        <w:rPr>
          <w:rFonts w:eastAsia="Times New Roman"/>
          <w:lang w:val="en-GB"/>
        </w:rPr>
        <w:t>graphs</w:t>
      </w:r>
      <w:proofErr w:type="gramEnd"/>
      <w:r w:rsidRPr="00F80B1E">
        <w:rPr>
          <w:rFonts w:eastAsia="Times New Roman"/>
          <w:lang w:val="en-GB"/>
        </w:rPr>
        <w:t xml:space="preserve"> and analysis</w:t>
      </w:r>
    </w:p>
    <w:p w14:paraId="1B7F938B" w14:textId="77777777" w:rsidR="00CF10CE" w:rsidRPr="00F80B1E" w:rsidRDefault="003E00FF" w:rsidP="00CF10CE">
      <w:pPr>
        <w:rPr>
          <w:rFonts w:eastAsia="Times New Roman"/>
          <w:lang w:val="en-GB"/>
        </w:rPr>
      </w:pPr>
      <w:hyperlink r:id="rId65" w:history="1">
        <w:r w:rsidR="00CF10CE" w:rsidRPr="00F80B1E">
          <w:rPr>
            <w:rStyle w:val="Hyperlink"/>
            <w:rFonts w:eastAsia="Times New Roman"/>
            <w:lang w:val="en-GB"/>
          </w:rPr>
          <w:t>CEPEJ Evaluation Report 2020 Part 1</w:t>
        </w:r>
      </w:hyperlink>
    </w:p>
    <w:p w14:paraId="084C01DC" w14:textId="77777777" w:rsidR="00CF10CE" w:rsidRPr="00F80B1E" w:rsidRDefault="00CF10CE" w:rsidP="00CF10CE">
      <w:pPr>
        <w:pStyle w:val="ListParagraph"/>
        <w:ind w:left="360"/>
        <w:rPr>
          <w:rFonts w:eastAsia="Times New Roman"/>
          <w:lang w:val="en-GB"/>
        </w:rPr>
      </w:pPr>
    </w:p>
    <w:p w14:paraId="66EFF789" w14:textId="77777777" w:rsidR="00CF10CE" w:rsidRPr="00F80B1E" w:rsidRDefault="00CF10CE" w:rsidP="00CF10CE">
      <w:pPr>
        <w:rPr>
          <w:lang w:val="en-GB"/>
        </w:rPr>
      </w:pPr>
      <w:r w:rsidRPr="00F80B1E">
        <w:rPr>
          <w:lang w:val="en-GB"/>
        </w:rPr>
        <w:t xml:space="preserve">CEPEJ Dynamic database of European judicial systems </w:t>
      </w:r>
    </w:p>
    <w:p w14:paraId="1EF83FD4" w14:textId="77777777" w:rsidR="00CF10CE" w:rsidRPr="00CF10CE" w:rsidRDefault="003E00FF" w:rsidP="00CF10CE">
      <w:pPr>
        <w:rPr>
          <w:lang w:val="en-GB"/>
        </w:rPr>
      </w:pPr>
      <w:hyperlink r:id="rId66" w:history="1">
        <w:r w:rsidR="00CF10CE" w:rsidRPr="00F80B1E">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6" w:name="_Toc36635824"/>
      <w:r w:rsidRPr="00546B57">
        <w:rPr>
          <w:lang w:val="en-US"/>
        </w:rPr>
        <w:t>12. Accessibility of courts (</w:t>
      </w:r>
      <w:proofErr w:type="gramStart"/>
      <w:r w:rsidRPr="00546B57">
        <w:rPr>
          <w:lang w:val="en-US"/>
        </w:rPr>
        <w:t>e.g.</w:t>
      </w:r>
      <w:proofErr w:type="gramEnd"/>
      <w:r w:rsidRPr="00546B57">
        <w:rPr>
          <w:lang w:val="en-US"/>
        </w:rPr>
        <w:t xml:space="preserve"> court fees, legal aid)</w:t>
      </w:r>
      <w:bookmarkEnd w:id="16"/>
      <w:r w:rsidRPr="00546B57">
        <w:rPr>
          <w:lang w:val="en-US"/>
        </w:rPr>
        <w:t xml:space="preserve"> </w:t>
      </w:r>
    </w:p>
    <w:p w14:paraId="4471745C" w14:textId="0E161356" w:rsidR="004A628B" w:rsidRPr="00546B57" w:rsidRDefault="004A628B" w:rsidP="004A628B">
      <w:pPr>
        <w:pStyle w:val="Heading3"/>
        <w:rPr>
          <w:lang w:val="en-US"/>
        </w:rPr>
      </w:pPr>
      <w:bookmarkStart w:id="17" w:name="_Toc36635825"/>
      <w:r w:rsidRPr="00546B57">
        <w:rPr>
          <w:lang w:val="en-US"/>
        </w:rPr>
        <w:t>13. Resources of the judiciary (human/financial)</w:t>
      </w:r>
      <w:bookmarkEnd w:id="17"/>
      <w:r w:rsidRPr="00546B57">
        <w:rPr>
          <w:lang w:val="en-US"/>
        </w:rPr>
        <w:t xml:space="preserve"> </w:t>
      </w:r>
    </w:p>
    <w:p w14:paraId="4F89D3D9" w14:textId="71E55FDB" w:rsidR="004A628B" w:rsidRDefault="004A628B" w:rsidP="004A628B">
      <w:pPr>
        <w:pStyle w:val="Heading3"/>
        <w:rPr>
          <w:lang w:val="en-US"/>
        </w:rPr>
      </w:pPr>
      <w:bookmarkStart w:id="18" w:name="_Toc36635826"/>
      <w:r w:rsidRPr="00546B57">
        <w:rPr>
          <w:lang w:val="en-US"/>
        </w:rPr>
        <w:t>14. Use of assessment tools and standards (</w:t>
      </w:r>
      <w:proofErr w:type="gramStart"/>
      <w:r w:rsidRPr="00546B57">
        <w:rPr>
          <w:lang w:val="en-US"/>
        </w:rPr>
        <w:t>e.g.</w:t>
      </w:r>
      <w:proofErr w:type="gramEnd"/>
      <w:r w:rsidRPr="00546B57">
        <w:rPr>
          <w:lang w:val="en-US"/>
        </w:rPr>
        <w:t xml:space="preserve"> ICT systems for case management, court statistics, monitoring, evaluation, surveys among court users or legal professionals)</w:t>
      </w:r>
      <w:bookmarkEnd w:id="18"/>
      <w:r w:rsidRPr="00546B57">
        <w:rPr>
          <w:lang w:val="en-US"/>
        </w:rPr>
        <w:t xml:space="preserve"> </w:t>
      </w:r>
    </w:p>
    <w:p w14:paraId="079B4089" w14:textId="6A077181" w:rsidR="005354EE" w:rsidRDefault="005354EE" w:rsidP="005354EE">
      <w:pPr>
        <w:rPr>
          <w:lang w:val="en-US"/>
        </w:rPr>
      </w:pPr>
    </w:p>
    <w:p w14:paraId="63BA6824" w14:textId="77777777" w:rsidR="00AA7781" w:rsidRDefault="00AA7781" w:rsidP="00AA7781">
      <w:pPr>
        <w:rPr>
          <w:highlight w:val="yellow"/>
          <w:lang w:val="en-US"/>
        </w:rPr>
      </w:pPr>
      <w:r>
        <w:rPr>
          <w:highlight w:val="yellow"/>
          <w:lang w:val="en-US"/>
        </w:rPr>
        <w:t>The European Commission for Democracy through Law – Venice Commission</w:t>
      </w:r>
    </w:p>
    <w:p w14:paraId="04AF587F" w14:textId="77777777" w:rsidR="005354EE" w:rsidRPr="00976132" w:rsidRDefault="005354EE" w:rsidP="005354EE">
      <w:pPr>
        <w:rPr>
          <w:rStyle w:val="Hyperlink"/>
          <w:lang w:val="en-US" w:eastAsia="fr-FR"/>
        </w:rPr>
      </w:pPr>
      <w:r w:rsidRPr="000D4782">
        <w:rPr>
          <w:highlight w:val="yellow"/>
          <w:lang w:val="en-GB"/>
        </w:rPr>
        <w:t xml:space="preserve">CDL-AD(2021)043 </w:t>
      </w:r>
      <w:hyperlink r:id="rId67" w:history="1">
        <w:r w:rsidRPr="000D4782">
          <w:rPr>
            <w:rStyle w:val="Hyperlink"/>
            <w:highlight w:val="yellow"/>
            <w:lang w:val="en-US" w:eastAsia="fr-FR"/>
          </w:rPr>
          <w:t>Cyprus - Opinion on three Bills reforming the Judiciary, adopted by the Venice Commission at its 129th Plenary session (10-11 December 2021, Venice and online)</w:t>
        </w:r>
      </w:hyperlink>
      <w:r w:rsidRPr="00976132">
        <w:rPr>
          <w:rStyle w:val="Hyperlink"/>
          <w:lang w:val="en-US" w:eastAsia="fr-FR"/>
        </w:rPr>
        <w:t> </w:t>
      </w:r>
    </w:p>
    <w:p w14:paraId="3A9A425F" w14:textId="77777777" w:rsidR="005354EE" w:rsidRPr="005354EE" w:rsidRDefault="005354EE" w:rsidP="005354EE">
      <w:pPr>
        <w:rPr>
          <w:lang w:val="en-US"/>
        </w:rPr>
      </w:pPr>
    </w:p>
    <w:p w14:paraId="75911148" w14:textId="0CF6FCB9" w:rsidR="004A628B" w:rsidRPr="00546B57" w:rsidRDefault="004A628B" w:rsidP="004A628B">
      <w:pPr>
        <w:pStyle w:val="Heading3"/>
        <w:rPr>
          <w:lang w:val="en-US"/>
        </w:rPr>
      </w:pPr>
      <w:bookmarkStart w:id="19" w:name="_Toc36635827"/>
      <w:r w:rsidRPr="00546B57">
        <w:rPr>
          <w:lang w:val="en-US"/>
        </w:rPr>
        <w:t>15. Other - please specify</w:t>
      </w:r>
      <w:bookmarkEnd w:id="19"/>
      <w:r w:rsidRPr="00546B57">
        <w:rPr>
          <w:lang w:val="en-US"/>
        </w:rPr>
        <w:t xml:space="preserve"> </w:t>
      </w:r>
    </w:p>
    <w:p w14:paraId="5482CC3B" w14:textId="77777777" w:rsidR="005F0E0E" w:rsidRDefault="005F0E0E" w:rsidP="005F0E0E">
      <w:pPr>
        <w:pStyle w:val="Default"/>
        <w:rPr>
          <w:rFonts w:asciiTheme="majorHAnsi" w:hAnsiTheme="majorHAnsi" w:cstheme="majorHAnsi"/>
          <w:color w:val="000000" w:themeColor="text1"/>
          <w:sz w:val="20"/>
          <w:szCs w:val="20"/>
          <w:lang w:val="en-US"/>
        </w:rPr>
      </w:pPr>
      <w:r>
        <w:rPr>
          <w:rFonts w:asciiTheme="majorHAnsi" w:hAnsiTheme="majorHAnsi" w:cstheme="majorHAnsi"/>
          <w:color w:val="000000" w:themeColor="text1"/>
          <w:sz w:val="20"/>
          <w:szCs w:val="20"/>
          <w:lang w:val="en-US"/>
        </w:rPr>
        <w:t>European Commission for the Efficiency of Justice (CEPEJ)</w:t>
      </w:r>
    </w:p>
    <w:p w14:paraId="5950F51C" w14:textId="6D705ED1" w:rsidR="004A628B" w:rsidRPr="005F0E0E" w:rsidRDefault="003E00FF" w:rsidP="004A628B">
      <w:pPr>
        <w:pStyle w:val="Default"/>
        <w:rPr>
          <w:color w:val="auto"/>
          <w:sz w:val="20"/>
          <w:szCs w:val="20"/>
          <w:lang w:val="en-US"/>
        </w:rPr>
      </w:pPr>
      <w:hyperlink r:id="rId68" w:history="1">
        <w:r w:rsidR="005F0E0E" w:rsidRPr="005F0E0E">
          <w:rPr>
            <w:rStyle w:val="Hyperlink"/>
            <w:sz w:val="20"/>
            <w:szCs w:val="20"/>
            <w:lang w:val="en-US"/>
          </w:rPr>
          <w:t>https://www.coe.int/fr/web/cepej/country-profiles/cyprus</w:t>
        </w:r>
      </w:hyperlink>
    </w:p>
    <w:p w14:paraId="14620143" w14:textId="77777777" w:rsidR="005F0E0E" w:rsidRPr="00546B57" w:rsidRDefault="005F0E0E" w:rsidP="004A628B">
      <w:pPr>
        <w:pStyle w:val="Default"/>
        <w:rPr>
          <w:color w:val="auto"/>
          <w:sz w:val="22"/>
          <w:szCs w:val="22"/>
          <w:lang w:val="en-US"/>
        </w:rPr>
      </w:pPr>
    </w:p>
    <w:p w14:paraId="11D81A0D" w14:textId="34B56190" w:rsidR="004A628B" w:rsidRDefault="004A628B" w:rsidP="004A628B">
      <w:pPr>
        <w:pStyle w:val="Heading2"/>
        <w:rPr>
          <w:lang w:val="en-US"/>
        </w:rPr>
      </w:pPr>
      <w:bookmarkStart w:id="20" w:name="_Toc36635828"/>
      <w:r w:rsidRPr="00546B57">
        <w:rPr>
          <w:lang w:val="en-US"/>
        </w:rPr>
        <w:t>C. Efficiency of the justice system</w:t>
      </w:r>
      <w:bookmarkEnd w:id="20"/>
      <w:r w:rsidRPr="00546B57">
        <w:rPr>
          <w:lang w:val="en-US"/>
        </w:rPr>
        <w:t xml:space="preserve"> </w:t>
      </w:r>
    </w:p>
    <w:p w14:paraId="2D6C97F9" w14:textId="3A0EE9F3" w:rsidR="00CF10CE" w:rsidRDefault="00CF10CE" w:rsidP="00CF10CE">
      <w:pPr>
        <w:rPr>
          <w:lang w:val="en-US"/>
        </w:rPr>
      </w:pPr>
    </w:p>
    <w:p w14:paraId="6931D57C" w14:textId="37D7D774" w:rsidR="00CF10CE" w:rsidRDefault="00CF10CE" w:rsidP="00CF10CE">
      <w:pPr>
        <w:rPr>
          <w:lang w:val="en-US"/>
        </w:rPr>
      </w:pPr>
    </w:p>
    <w:p w14:paraId="0DE62411" w14:textId="77777777" w:rsidR="00CF10CE" w:rsidRPr="00F80B1E" w:rsidRDefault="00CF10CE" w:rsidP="00CF10CE">
      <w:pPr>
        <w:rPr>
          <w:lang w:val="en-GB"/>
        </w:rPr>
      </w:pPr>
      <w:r w:rsidRPr="00F80B1E">
        <w:rPr>
          <w:lang w:val="en-GB"/>
        </w:rPr>
        <w:t xml:space="preserve">CEPEJ </w:t>
      </w:r>
    </w:p>
    <w:p w14:paraId="510247AA" w14:textId="77777777" w:rsidR="00CF10CE" w:rsidRPr="00F80B1E" w:rsidRDefault="00CF10CE" w:rsidP="00CF10CE">
      <w:pPr>
        <w:rPr>
          <w:color w:val="0563C1"/>
          <w:u w:val="single"/>
          <w:lang w:val="en-GB" w:eastAsia="fr-FR"/>
        </w:rPr>
      </w:pPr>
      <w:r w:rsidRPr="00F80B1E">
        <w:rPr>
          <w:rFonts w:eastAsia="Times New Roman"/>
          <w:lang w:val="en-GB"/>
        </w:rPr>
        <w:t>CEPEJ – Country profile Cyprus - Scoreboard (2019 data) (</w:t>
      </w:r>
      <w:r w:rsidRPr="00F80B1E">
        <w:rPr>
          <w:rFonts w:eastAsia="Times New Roman"/>
          <w:i/>
          <w:iCs/>
          <w:lang w:val="en-GB"/>
        </w:rPr>
        <w:t>content of the link will be available after acceptation of the CEPEJ Study for the Scoreboard by DG-Just</w:t>
      </w:r>
      <w:r w:rsidRPr="00F80B1E">
        <w:rPr>
          <w:rFonts w:eastAsia="Times New Roman"/>
          <w:lang w:val="en-GB"/>
        </w:rPr>
        <w:t>)</w:t>
      </w:r>
    </w:p>
    <w:p w14:paraId="5F841408" w14:textId="77777777" w:rsidR="00CF10CE" w:rsidRPr="00F80B1E" w:rsidRDefault="003E00FF" w:rsidP="00CF10CE">
      <w:pPr>
        <w:rPr>
          <w:color w:val="0563C1"/>
          <w:u w:val="single"/>
          <w:lang w:val="en-GB" w:eastAsia="fr-FR"/>
        </w:rPr>
      </w:pPr>
      <w:hyperlink r:id="rId69" w:history="1">
        <w:r w:rsidR="00CF10CE" w:rsidRPr="00F80B1E">
          <w:rPr>
            <w:rStyle w:val="Hyperlink"/>
            <w:lang w:val="en-US" w:eastAsia="fr-FR"/>
          </w:rPr>
          <w:t>CEPEJ Country Profiles Cyprus Scoreboard</w:t>
        </w:r>
      </w:hyperlink>
    </w:p>
    <w:p w14:paraId="6901577D" w14:textId="77777777" w:rsidR="00CF10CE" w:rsidRPr="00F80B1E" w:rsidRDefault="00CF10CE" w:rsidP="00CF10CE">
      <w:pPr>
        <w:pStyle w:val="ListParagraph"/>
        <w:ind w:left="360"/>
        <w:rPr>
          <w:rFonts w:eastAsia="Times New Roman"/>
          <w:lang w:val="en-US"/>
        </w:rPr>
      </w:pPr>
      <w:r w:rsidRPr="00F80B1E">
        <w:rPr>
          <w:rFonts w:eastAsia="Times New Roman"/>
          <w:lang w:val="en-US"/>
        </w:rPr>
        <w:t xml:space="preserve"> </w:t>
      </w:r>
    </w:p>
    <w:p w14:paraId="7386356B" w14:textId="77777777" w:rsidR="00CF10CE" w:rsidRPr="00F80B1E" w:rsidRDefault="00CF10CE" w:rsidP="00CF10CE">
      <w:pPr>
        <w:rPr>
          <w:lang w:val="en-US"/>
        </w:rPr>
      </w:pPr>
      <w:r w:rsidRPr="00F80B1E">
        <w:rPr>
          <w:rFonts w:eastAsia="Times New Roman"/>
          <w:lang w:val="en-GB"/>
        </w:rPr>
        <w:t>CEPEJ European Judicial Systems Evaluation Report – Evaluation cycle 2018-2020 (2018 data) – Part 2 Country profile Cyprus</w:t>
      </w:r>
    </w:p>
    <w:p w14:paraId="7EBC2FFF" w14:textId="77777777" w:rsidR="00CF10CE" w:rsidRPr="00F80B1E" w:rsidRDefault="003E00FF" w:rsidP="00CF10CE">
      <w:pPr>
        <w:rPr>
          <w:lang w:val="en-US"/>
        </w:rPr>
      </w:pPr>
      <w:hyperlink r:id="rId70" w:anchor="!/vizhome/CEPEJ-Countryprofilev1_0EN/CountryProfileA4part1?CountryParam=Cyprus" w:history="1">
        <w:r w:rsidR="00CF10CE" w:rsidRPr="00F80B1E">
          <w:rPr>
            <w:rStyle w:val="Hyperlink"/>
            <w:lang w:val="en-US"/>
          </w:rPr>
          <w:t>CEPEJ Evaluation Report - Country Profiles - Cyprus</w:t>
        </w:r>
      </w:hyperlink>
      <w:r w:rsidR="00CF10CE" w:rsidRPr="00F80B1E">
        <w:rPr>
          <w:lang w:val="en-US"/>
        </w:rPr>
        <w:t xml:space="preserve"> </w:t>
      </w:r>
    </w:p>
    <w:p w14:paraId="148A39A8" w14:textId="77777777" w:rsidR="00CF10CE" w:rsidRPr="00F80B1E" w:rsidRDefault="00CF10CE" w:rsidP="00CF10CE">
      <w:pPr>
        <w:pStyle w:val="ListParagraph"/>
        <w:ind w:left="360"/>
        <w:rPr>
          <w:lang w:val="en-US"/>
        </w:rPr>
      </w:pPr>
    </w:p>
    <w:p w14:paraId="15D2AACA" w14:textId="77777777" w:rsidR="00CF10CE" w:rsidRPr="00F80B1E" w:rsidRDefault="00CF10CE" w:rsidP="00CF10CE">
      <w:pPr>
        <w:rPr>
          <w:rFonts w:eastAsia="Times New Roman"/>
          <w:lang w:val="en-US"/>
        </w:rPr>
      </w:pPr>
      <w:r w:rsidRPr="00F80B1E">
        <w:rPr>
          <w:rFonts w:eastAsia="Times New Roman"/>
          <w:lang w:val="en-GB"/>
        </w:rPr>
        <w:t xml:space="preserve">CEPEJ website – General Country profile Cyprus (including answers to the Evaluation Scheme) </w:t>
      </w:r>
    </w:p>
    <w:p w14:paraId="4DEEC92B" w14:textId="77777777" w:rsidR="00CF10CE" w:rsidRPr="00F80B1E" w:rsidRDefault="003E00FF" w:rsidP="00CF10CE">
      <w:pPr>
        <w:rPr>
          <w:lang w:val="en-GB"/>
        </w:rPr>
      </w:pPr>
      <w:hyperlink r:id="rId71" w:history="1">
        <w:r w:rsidR="00CF10CE" w:rsidRPr="00F80B1E">
          <w:rPr>
            <w:rStyle w:val="Hyperlink"/>
            <w:lang w:val="en-GB"/>
          </w:rPr>
          <w:t xml:space="preserve">General CEPEJ Country profile </w:t>
        </w:r>
      </w:hyperlink>
      <w:r w:rsidR="00CF10CE" w:rsidRPr="00F80B1E">
        <w:rPr>
          <w:lang w:val="en-GB"/>
        </w:rPr>
        <w:t xml:space="preserve"> </w:t>
      </w:r>
    </w:p>
    <w:p w14:paraId="5CA862E4" w14:textId="77777777" w:rsidR="00CF10CE" w:rsidRPr="00F80B1E" w:rsidRDefault="00CF10CE" w:rsidP="00CF10CE">
      <w:pPr>
        <w:pStyle w:val="ListParagraph"/>
        <w:ind w:left="360"/>
        <w:rPr>
          <w:rFonts w:eastAsia="Times New Roman"/>
          <w:lang w:val="en-GB"/>
        </w:rPr>
      </w:pPr>
    </w:p>
    <w:p w14:paraId="42E6B0BA" w14:textId="77777777" w:rsidR="00CF10CE" w:rsidRPr="00F80B1E" w:rsidRDefault="00CF10CE" w:rsidP="00CF10CE">
      <w:pPr>
        <w:rPr>
          <w:rFonts w:eastAsia="Times New Roman"/>
          <w:lang w:val="en-GB"/>
        </w:rPr>
      </w:pPr>
      <w:r w:rsidRPr="00F80B1E">
        <w:rPr>
          <w:rFonts w:eastAsia="Times New Roman"/>
          <w:lang w:val="en-GB"/>
        </w:rPr>
        <w:t xml:space="preserve">European Judicial Systems CEPEJ Evaluation Report – Evaluation cycle 2018-2020 (2018 data) – Part 1 Tables, </w:t>
      </w:r>
      <w:proofErr w:type="gramStart"/>
      <w:r w:rsidRPr="00F80B1E">
        <w:rPr>
          <w:rFonts w:eastAsia="Times New Roman"/>
          <w:lang w:val="en-GB"/>
        </w:rPr>
        <w:t>graphs</w:t>
      </w:r>
      <w:proofErr w:type="gramEnd"/>
      <w:r w:rsidRPr="00F80B1E">
        <w:rPr>
          <w:rFonts w:eastAsia="Times New Roman"/>
          <w:lang w:val="en-GB"/>
        </w:rPr>
        <w:t xml:space="preserve"> and analysis</w:t>
      </w:r>
    </w:p>
    <w:p w14:paraId="271698A1" w14:textId="77777777" w:rsidR="00CF10CE" w:rsidRPr="00F80B1E" w:rsidRDefault="003E00FF" w:rsidP="00CF10CE">
      <w:pPr>
        <w:rPr>
          <w:rFonts w:eastAsia="Times New Roman"/>
          <w:lang w:val="en-GB"/>
        </w:rPr>
      </w:pPr>
      <w:hyperlink r:id="rId72" w:history="1">
        <w:r w:rsidR="00CF10CE" w:rsidRPr="00F80B1E">
          <w:rPr>
            <w:rStyle w:val="Hyperlink"/>
            <w:rFonts w:eastAsia="Times New Roman"/>
            <w:lang w:val="en-GB"/>
          </w:rPr>
          <w:t>CEPEJ Evaluation Report 2020 Part 1</w:t>
        </w:r>
      </w:hyperlink>
    </w:p>
    <w:p w14:paraId="28EA0FC9" w14:textId="77777777" w:rsidR="00CF10CE" w:rsidRPr="00F80B1E" w:rsidRDefault="00CF10CE" w:rsidP="00CF10CE">
      <w:pPr>
        <w:pStyle w:val="ListParagraph"/>
        <w:ind w:left="360"/>
        <w:rPr>
          <w:rFonts w:eastAsia="Times New Roman"/>
          <w:lang w:val="en-GB"/>
        </w:rPr>
      </w:pPr>
    </w:p>
    <w:p w14:paraId="366C6DCF" w14:textId="77777777" w:rsidR="00CF10CE" w:rsidRPr="00F80B1E" w:rsidRDefault="00CF10CE" w:rsidP="00CF10CE">
      <w:pPr>
        <w:rPr>
          <w:lang w:val="en-GB"/>
        </w:rPr>
      </w:pPr>
      <w:r w:rsidRPr="00F80B1E">
        <w:rPr>
          <w:lang w:val="en-GB"/>
        </w:rPr>
        <w:t xml:space="preserve">CEPEJ Dynamic database of European judicial systems </w:t>
      </w:r>
    </w:p>
    <w:p w14:paraId="78BD653A" w14:textId="77777777" w:rsidR="00CF10CE" w:rsidRPr="00F80B1E" w:rsidRDefault="003E00FF" w:rsidP="00CF10CE">
      <w:pPr>
        <w:rPr>
          <w:lang w:val="en-GB"/>
        </w:rPr>
      </w:pPr>
      <w:hyperlink r:id="rId73" w:history="1">
        <w:r w:rsidR="00CF10CE" w:rsidRPr="00F80B1E">
          <w:rPr>
            <w:rStyle w:val="Hyperlink"/>
            <w:lang w:val="en-GB"/>
          </w:rPr>
          <w:t>CEPEJ-STAT</w:t>
        </w:r>
      </w:hyperlink>
    </w:p>
    <w:p w14:paraId="6E715C12" w14:textId="77777777" w:rsidR="00CF10CE" w:rsidRPr="00F80B1E" w:rsidRDefault="00CF10CE" w:rsidP="00CF10CE">
      <w:pPr>
        <w:rPr>
          <w:lang w:val="en-US"/>
        </w:rPr>
      </w:pPr>
    </w:p>
    <w:p w14:paraId="4804E1C6" w14:textId="77777777" w:rsidR="00754B40" w:rsidRPr="00F80B1E" w:rsidRDefault="00754B40" w:rsidP="00754B40">
      <w:pPr>
        <w:rPr>
          <w:lang w:val="en-US"/>
        </w:rPr>
      </w:pPr>
      <w:r w:rsidRPr="00F80B1E">
        <w:rPr>
          <w:lang w:val="en-US"/>
        </w:rPr>
        <w:t>GRECO</w:t>
      </w:r>
    </w:p>
    <w:p w14:paraId="7E563654" w14:textId="77777777" w:rsidR="00754B40" w:rsidRPr="00F80B1E" w:rsidRDefault="003E00FF" w:rsidP="00754B40">
      <w:pPr>
        <w:rPr>
          <w:lang w:val="en-US"/>
        </w:rPr>
      </w:pPr>
      <w:hyperlink r:id="rId74" w:history="1">
        <w:r w:rsidR="00754B40" w:rsidRPr="00F80B1E">
          <w:rPr>
            <w:rStyle w:val="Hyperlink"/>
            <w:lang w:val="en-US"/>
          </w:rPr>
          <w:t>https://rm.coe.int/fourth-evaluation-round-corruption-prevention-in-respect-of-members-of/1680a06389</w:t>
        </w:r>
      </w:hyperlink>
    </w:p>
    <w:p w14:paraId="4C6F26B5" w14:textId="77777777"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49F14585" w14:textId="77777777" w:rsidR="00754B40" w:rsidRPr="00754B40" w:rsidRDefault="00754B40" w:rsidP="00754B40">
      <w:pPr>
        <w:rPr>
          <w:lang w:val="en-GB"/>
        </w:rPr>
      </w:pPr>
    </w:p>
    <w:p w14:paraId="79385485" w14:textId="77777777" w:rsidR="00CF1C6F" w:rsidRDefault="00CF1C6F" w:rsidP="00CF1C6F">
      <w:pPr>
        <w:rPr>
          <w:lang w:val="en-US"/>
        </w:rPr>
      </w:pPr>
      <w:r>
        <w:rPr>
          <w:lang w:val="en-US"/>
        </w:rPr>
        <w:t>GRECO</w:t>
      </w:r>
    </w:p>
    <w:p w14:paraId="010F73CC" w14:textId="77777777" w:rsidR="00CF1C6F" w:rsidRPr="00CF1C6F" w:rsidRDefault="003E00FF" w:rsidP="00CF1C6F">
      <w:pPr>
        <w:rPr>
          <w:lang w:val="en-GB"/>
        </w:rPr>
      </w:pPr>
      <w:hyperlink r:id="rId75" w:history="1">
        <w:r w:rsidR="00CF1C6F" w:rsidRPr="003308D0">
          <w:rPr>
            <w:rStyle w:val="Hyperlink"/>
            <w:lang w:val="en-GB"/>
          </w:rPr>
          <w:t>https://www.coe.int/en/web/greco/evaluations/cyprus</w:t>
        </w:r>
      </w:hyperlink>
    </w:p>
    <w:p w14:paraId="48DA07CA"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6F69B071"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182B432B" w:rsidR="004A628B" w:rsidRDefault="004A628B" w:rsidP="004A628B">
      <w:pPr>
        <w:pStyle w:val="Heading3"/>
        <w:rPr>
          <w:lang w:val="en-US"/>
        </w:rPr>
      </w:pPr>
      <w:bookmarkStart w:id="21" w:name="_Toc36635829"/>
      <w:r w:rsidRPr="00546B57">
        <w:rPr>
          <w:lang w:val="en-US"/>
        </w:rPr>
        <w:t>16. Length of proceedings</w:t>
      </w:r>
      <w:bookmarkEnd w:id="21"/>
      <w:r w:rsidRPr="00546B57">
        <w:rPr>
          <w:lang w:val="en-US"/>
        </w:rPr>
        <w:t xml:space="preserve"> </w:t>
      </w:r>
    </w:p>
    <w:p w14:paraId="4EBC962C" w14:textId="33D9EFC0" w:rsidR="00263FD9" w:rsidRDefault="00263FD9" w:rsidP="00263FD9">
      <w:pPr>
        <w:rPr>
          <w:lang w:val="en-US"/>
        </w:rPr>
      </w:pPr>
    </w:p>
    <w:p w14:paraId="26AF2D4B" w14:textId="77777777" w:rsidR="00AA7781" w:rsidRDefault="00AA7781" w:rsidP="00AA7781">
      <w:pPr>
        <w:rPr>
          <w:highlight w:val="yellow"/>
          <w:lang w:val="en-US"/>
        </w:rPr>
      </w:pPr>
      <w:r>
        <w:rPr>
          <w:highlight w:val="yellow"/>
          <w:lang w:val="en-US"/>
        </w:rPr>
        <w:t>The European Commission for Democracy through Law – Venice Commission</w:t>
      </w:r>
    </w:p>
    <w:p w14:paraId="3641AC70" w14:textId="77777777" w:rsidR="00263FD9" w:rsidRPr="00976132" w:rsidRDefault="00263FD9" w:rsidP="00263FD9">
      <w:pPr>
        <w:rPr>
          <w:rStyle w:val="Hyperlink"/>
          <w:lang w:val="en-US" w:eastAsia="fr-FR"/>
        </w:rPr>
      </w:pPr>
      <w:r w:rsidRPr="000D4782">
        <w:rPr>
          <w:highlight w:val="yellow"/>
          <w:lang w:val="en-GB"/>
        </w:rPr>
        <w:t xml:space="preserve">CDL-AD(2021)043 </w:t>
      </w:r>
      <w:hyperlink r:id="rId76" w:history="1">
        <w:r w:rsidRPr="000D4782">
          <w:rPr>
            <w:rStyle w:val="Hyperlink"/>
            <w:highlight w:val="yellow"/>
            <w:lang w:val="en-US" w:eastAsia="fr-FR"/>
          </w:rPr>
          <w:t>Cyprus - Opinion on three Bills reforming the Judiciary, adopted by the Venice Commission at its 129th Plenary session (10-11 December 2021, Venice and online)</w:t>
        </w:r>
      </w:hyperlink>
      <w:r w:rsidRPr="00976132">
        <w:rPr>
          <w:rStyle w:val="Hyperlink"/>
          <w:lang w:val="en-US" w:eastAsia="fr-FR"/>
        </w:rPr>
        <w:t> </w:t>
      </w:r>
    </w:p>
    <w:p w14:paraId="4ACF6374" w14:textId="77777777" w:rsidR="00263FD9" w:rsidRPr="00263FD9" w:rsidRDefault="00263FD9" w:rsidP="00263FD9">
      <w:pPr>
        <w:rPr>
          <w:lang w:val="en-US"/>
        </w:rPr>
      </w:pPr>
    </w:p>
    <w:p w14:paraId="122AF435" w14:textId="18ECC939" w:rsidR="004A628B" w:rsidRPr="00546B57" w:rsidRDefault="004A628B" w:rsidP="004A628B">
      <w:pPr>
        <w:pStyle w:val="Heading3"/>
        <w:rPr>
          <w:lang w:val="en-US"/>
        </w:rPr>
      </w:pPr>
      <w:bookmarkStart w:id="22" w:name="_Toc36635830"/>
      <w:r w:rsidRPr="00546B57">
        <w:rPr>
          <w:lang w:val="en-US"/>
        </w:rPr>
        <w:t>17. Enforcement of judgements</w:t>
      </w:r>
      <w:bookmarkEnd w:id="22"/>
      <w:r w:rsidRPr="00546B57">
        <w:rPr>
          <w:lang w:val="en-US"/>
        </w:rPr>
        <w:t xml:space="preserve"> </w:t>
      </w:r>
    </w:p>
    <w:p w14:paraId="14E757F1" w14:textId="1F081A40" w:rsidR="004A628B" w:rsidRPr="00546B57" w:rsidRDefault="004A628B" w:rsidP="004A628B">
      <w:pPr>
        <w:pStyle w:val="Heading3"/>
        <w:rPr>
          <w:lang w:val="en-US"/>
        </w:rPr>
      </w:pPr>
      <w:bookmarkStart w:id="23" w:name="_Toc36635831"/>
      <w:r w:rsidRPr="00546B57">
        <w:rPr>
          <w:lang w:val="en-US"/>
        </w:rPr>
        <w:t>18. Other - please specify</w:t>
      </w:r>
      <w:bookmarkEnd w:id="23"/>
      <w:r w:rsidRPr="00546B57">
        <w:rPr>
          <w:lang w:val="en-US"/>
        </w:rPr>
        <w:t xml:space="preserve"> </w:t>
      </w:r>
    </w:p>
    <w:p w14:paraId="29107FAE" w14:textId="77777777" w:rsidR="00031B18" w:rsidRPr="008D3C55" w:rsidRDefault="00031B18" w:rsidP="00031B18">
      <w:pPr>
        <w:rPr>
          <w:lang w:val="en-US"/>
        </w:rPr>
      </w:pPr>
      <w:bookmarkStart w:id="24" w:name="_Hlk38357014"/>
      <w:r w:rsidRPr="008D3C55">
        <w:rPr>
          <w:lang w:val="en-US"/>
        </w:rPr>
        <w:t xml:space="preserve">European Court of Human Rights </w:t>
      </w:r>
      <w:r>
        <w:rPr>
          <w:lang w:val="en-US"/>
        </w:rPr>
        <w:t xml:space="preserve">- </w:t>
      </w:r>
      <w:r w:rsidRPr="008D3C55">
        <w:rPr>
          <w:lang w:val="en-US"/>
        </w:rPr>
        <w:t>country profile</w:t>
      </w:r>
    </w:p>
    <w:bookmarkEnd w:id="24"/>
    <w:p w14:paraId="0A25855B" w14:textId="715A1563" w:rsidR="004A628B" w:rsidRPr="00B67BC5" w:rsidRDefault="00B67BC5" w:rsidP="004A628B">
      <w:pPr>
        <w:pStyle w:val="Default"/>
        <w:rPr>
          <w:color w:val="auto"/>
          <w:sz w:val="20"/>
          <w:szCs w:val="20"/>
          <w:lang w:val="en-US"/>
        </w:rPr>
      </w:pPr>
      <w:r w:rsidRPr="00B67BC5">
        <w:rPr>
          <w:color w:val="auto"/>
          <w:sz w:val="20"/>
          <w:szCs w:val="20"/>
          <w:lang w:val="en-US"/>
        </w:rPr>
        <w:fldChar w:fldCharType="begin"/>
      </w:r>
      <w:r w:rsidRPr="00B67BC5">
        <w:rPr>
          <w:color w:val="auto"/>
          <w:sz w:val="20"/>
          <w:szCs w:val="20"/>
          <w:lang w:val="en-US"/>
        </w:rPr>
        <w:instrText xml:space="preserve"> HYPERLINK "https://echr.coe.int/Documents/CP_Cyprus_ENG.pdf" </w:instrText>
      </w:r>
      <w:r w:rsidRPr="00B67BC5">
        <w:rPr>
          <w:color w:val="auto"/>
          <w:sz w:val="20"/>
          <w:szCs w:val="20"/>
          <w:lang w:val="en-US"/>
        </w:rPr>
        <w:fldChar w:fldCharType="separate"/>
      </w:r>
      <w:r w:rsidRPr="00B67BC5">
        <w:rPr>
          <w:rStyle w:val="Hyperlink"/>
          <w:sz w:val="20"/>
          <w:szCs w:val="20"/>
          <w:lang w:val="en-US"/>
        </w:rPr>
        <w:t>https://echr.coe.int/Documents/CP_Cyprus_ENG.pdf</w:t>
      </w:r>
      <w:r w:rsidRPr="00B67BC5">
        <w:rPr>
          <w:color w:val="auto"/>
          <w:sz w:val="20"/>
          <w:szCs w:val="20"/>
          <w:lang w:val="en-US"/>
        </w:rPr>
        <w:fldChar w:fldCharType="end"/>
      </w:r>
    </w:p>
    <w:p w14:paraId="60722F4E" w14:textId="502F655B" w:rsidR="00B67BC5" w:rsidRDefault="00B67BC5" w:rsidP="004A628B">
      <w:pPr>
        <w:pStyle w:val="Default"/>
        <w:rPr>
          <w:color w:val="auto"/>
          <w:sz w:val="22"/>
          <w:szCs w:val="22"/>
          <w:lang w:val="en-US"/>
        </w:rPr>
      </w:pPr>
    </w:p>
    <w:p w14:paraId="3D318D98" w14:textId="77777777" w:rsidR="00031B18" w:rsidRPr="008D3C55" w:rsidRDefault="00031B18" w:rsidP="00031B18">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455033D1" w14:textId="67ACC103" w:rsidR="00031B18" w:rsidRPr="000D09ED" w:rsidRDefault="003E00FF" w:rsidP="004A628B">
      <w:pPr>
        <w:pStyle w:val="Default"/>
        <w:rPr>
          <w:color w:val="auto"/>
          <w:sz w:val="20"/>
          <w:szCs w:val="20"/>
          <w:lang w:val="en-US"/>
        </w:rPr>
      </w:pPr>
      <w:hyperlink r:id="rId77" w:history="1">
        <w:r w:rsidR="000D09ED" w:rsidRPr="000D09ED">
          <w:rPr>
            <w:rStyle w:val="Hyperlink"/>
            <w:sz w:val="20"/>
            <w:szCs w:val="20"/>
            <w:lang w:val="en-US"/>
          </w:rPr>
          <w:t>https://rm.coe.int/1680709743</w:t>
        </w:r>
      </w:hyperlink>
    </w:p>
    <w:p w14:paraId="088DFBE7" w14:textId="77777777" w:rsidR="000D09ED" w:rsidRPr="00546B57" w:rsidRDefault="000D09ED"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5" w:name="_Toc36635832"/>
      <w:r>
        <w:rPr>
          <w:lang w:val="en-US"/>
        </w:rPr>
        <w:t xml:space="preserve">II </w:t>
      </w:r>
      <w:r w:rsidRPr="00546B57">
        <w:rPr>
          <w:lang w:val="en-US"/>
        </w:rPr>
        <w:t>Anti-corruption framework</w:t>
      </w:r>
      <w:bookmarkEnd w:id="25"/>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6" w:name="_Toc36635833"/>
      <w:r w:rsidRPr="00546B57">
        <w:rPr>
          <w:lang w:val="en-US"/>
        </w:rPr>
        <w:t>A. The institutional framework capacity to fight against corruption (prevention and investigation / prosecution)</w:t>
      </w:r>
      <w:bookmarkEnd w:id="26"/>
      <w:r w:rsidRPr="00546B57">
        <w:rPr>
          <w:lang w:val="en-US"/>
        </w:rPr>
        <w:t xml:space="preserve"> </w:t>
      </w:r>
    </w:p>
    <w:p w14:paraId="6B1A6594" w14:textId="2949FB86" w:rsidR="00734D8B" w:rsidRDefault="00734D8B" w:rsidP="00734D8B">
      <w:pPr>
        <w:rPr>
          <w:lang w:val="en-US"/>
        </w:rPr>
      </w:pPr>
    </w:p>
    <w:p w14:paraId="164316B4" w14:textId="26CAB4C2" w:rsidR="000A39DA" w:rsidRDefault="000A39DA" w:rsidP="00734D8B">
      <w:pPr>
        <w:rPr>
          <w:lang w:val="en-US"/>
        </w:rPr>
      </w:pPr>
    </w:p>
    <w:p w14:paraId="31AEF593" w14:textId="77777777" w:rsidR="000A39DA" w:rsidRPr="00F80B1E" w:rsidRDefault="000A39DA" w:rsidP="000A39DA">
      <w:pPr>
        <w:rPr>
          <w:lang w:val="en-US"/>
        </w:rPr>
      </w:pPr>
      <w:r w:rsidRPr="00F80B1E">
        <w:rPr>
          <w:lang w:val="en-US"/>
        </w:rPr>
        <w:t>GRECO</w:t>
      </w:r>
    </w:p>
    <w:p w14:paraId="200FE6BD" w14:textId="77777777" w:rsidR="000A39DA" w:rsidRPr="00F80B1E" w:rsidRDefault="000A39DA" w:rsidP="000A39DA">
      <w:pPr>
        <w:rPr>
          <w:lang w:val="en-US"/>
        </w:rPr>
      </w:pPr>
      <w:r w:rsidRPr="00F80B1E">
        <w:rPr>
          <w:lang w:val="en-US"/>
        </w:rPr>
        <w:t>Guidelines addressed to GRECO 50 Member States</w:t>
      </w:r>
    </w:p>
    <w:p w14:paraId="1D13AE70" w14:textId="77777777" w:rsidR="000A39DA" w:rsidRPr="00F80B1E" w:rsidRDefault="003E00FF" w:rsidP="000A39DA">
      <w:pPr>
        <w:rPr>
          <w:rStyle w:val="Hyperlink"/>
          <w:lang w:val="en-GB"/>
        </w:rPr>
      </w:pPr>
      <w:hyperlink r:id="rId78" w:history="1">
        <w:r w:rsidR="000A39DA" w:rsidRPr="00F80B1E">
          <w:rPr>
            <w:rStyle w:val="Hyperlink"/>
            <w:lang w:val="en-US"/>
          </w:rPr>
          <w:t>Corruption Risks and Useful Legal References in the context of COVID-19</w:t>
        </w:r>
      </w:hyperlink>
      <w:r w:rsidR="000A39DA" w:rsidRPr="00F80B1E">
        <w:rPr>
          <w:rStyle w:val="Hyperlink"/>
          <w:lang w:val="en-US"/>
        </w:rPr>
        <w:t xml:space="preserve"> </w:t>
      </w:r>
    </w:p>
    <w:p w14:paraId="1717C6FF" w14:textId="77777777" w:rsidR="000A39DA" w:rsidRPr="00F80B1E" w:rsidRDefault="000A39DA" w:rsidP="000A39DA">
      <w:pPr>
        <w:rPr>
          <w:lang w:val="en-GB"/>
        </w:rPr>
      </w:pPr>
      <w:r w:rsidRPr="00F80B1E">
        <w:rPr>
          <w:rStyle w:val="Hyperlink"/>
          <w:lang w:val="en-US"/>
        </w:rPr>
        <w:t>Published 21/04/2020</w:t>
      </w:r>
    </w:p>
    <w:p w14:paraId="49854740" w14:textId="5F2CC0B3" w:rsidR="000A39DA" w:rsidRPr="00F80B1E" w:rsidRDefault="000A39DA" w:rsidP="00734D8B">
      <w:pPr>
        <w:rPr>
          <w:lang w:val="en-US"/>
        </w:rPr>
      </w:pPr>
    </w:p>
    <w:p w14:paraId="60726D46" w14:textId="77777777" w:rsidR="00754B40" w:rsidRPr="00F80B1E" w:rsidRDefault="00754B40" w:rsidP="00754B40">
      <w:pPr>
        <w:rPr>
          <w:lang w:val="en-US"/>
        </w:rPr>
      </w:pPr>
      <w:r w:rsidRPr="00F80B1E">
        <w:rPr>
          <w:lang w:val="en-US"/>
        </w:rPr>
        <w:t>GRECO</w:t>
      </w:r>
    </w:p>
    <w:p w14:paraId="20D70EEB" w14:textId="77777777" w:rsidR="00754B40" w:rsidRPr="00F80B1E" w:rsidRDefault="003E00FF" w:rsidP="00754B40">
      <w:pPr>
        <w:rPr>
          <w:lang w:val="en-US"/>
        </w:rPr>
      </w:pPr>
      <w:hyperlink r:id="rId79" w:history="1">
        <w:r w:rsidR="00754B40" w:rsidRPr="00F80B1E">
          <w:rPr>
            <w:rStyle w:val="Hyperlink"/>
            <w:lang w:val="en-US"/>
          </w:rPr>
          <w:t>https://rm.coe.int/fourth-evaluation-round-corruption-prevention-in-respect-of-members-of/1680a06389</w:t>
        </w:r>
      </w:hyperlink>
    </w:p>
    <w:p w14:paraId="756403D7" w14:textId="77777777" w:rsidR="00754B40" w:rsidRPr="00F80B1E"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543497AE" w14:textId="77777777" w:rsidR="00130907" w:rsidRPr="00F80B1E" w:rsidRDefault="00130907" w:rsidP="00130907">
      <w:pPr>
        <w:rPr>
          <w:lang w:val="en-US"/>
        </w:rPr>
      </w:pPr>
      <w:r w:rsidRPr="00F80B1E">
        <w:rPr>
          <w:lang w:val="en-GB"/>
        </w:rPr>
        <w:t>Office of the Commissioner for Human Rights</w:t>
      </w:r>
    </w:p>
    <w:p w14:paraId="00ABE14E" w14:textId="77777777" w:rsidR="00130907" w:rsidRPr="003C423D" w:rsidRDefault="00130907" w:rsidP="00130907">
      <w:pPr>
        <w:outlineLvl w:val="0"/>
        <w:rPr>
          <w:iCs/>
          <w:lang w:val="en-GB"/>
        </w:rPr>
      </w:pPr>
      <w:r w:rsidRPr="00F80B1E">
        <w:rPr>
          <w:iCs/>
          <w:lang w:val="en-GB"/>
        </w:rPr>
        <w:t xml:space="preserve">Corruption undermines human rights and the rule of law </w:t>
      </w:r>
      <w:hyperlink r:id="rId80" w:history="1">
        <w:r w:rsidRPr="00F80B1E">
          <w:rPr>
            <w:rStyle w:val="Hyperlink"/>
            <w:iCs/>
            <w:lang w:val="en-US"/>
          </w:rPr>
          <w:t>Corruption undermines human rights and the rule of law - Human Rights Comments - Commissioner for Human Rights (coe.int)</w:t>
        </w:r>
      </w:hyperlink>
      <w:r w:rsidRPr="00F80B1E">
        <w:rPr>
          <w:iCs/>
          <w:lang w:val="en-GB"/>
        </w:rPr>
        <w:t xml:space="preserve"> – published on 19 January 2021</w:t>
      </w:r>
    </w:p>
    <w:p w14:paraId="52E96FCA" w14:textId="77777777" w:rsidR="00754B40" w:rsidRPr="00754B40" w:rsidRDefault="00754B40" w:rsidP="00734D8B">
      <w:pPr>
        <w:rPr>
          <w:lang w:val="en-GB"/>
        </w:rPr>
      </w:pPr>
    </w:p>
    <w:p w14:paraId="328A69EB" w14:textId="38A203E1" w:rsidR="00CF1C6F" w:rsidRDefault="00CF1C6F" w:rsidP="007D198D">
      <w:pPr>
        <w:rPr>
          <w:lang w:val="en-US"/>
        </w:rPr>
      </w:pPr>
    </w:p>
    <w:p w14:paraId="3A7B9911" w14:textId="77777777" w:rsidR="002A3826" w:rsidRDefault="002A3826" w:rsidP="007D198D">
      <w:pPr>
        <w:rPr>
          <w:lang w:val="en-US"/>
        </w:rPr>
      </w:pPr>
    </w:p>
    <w:p w14:paraId="030E208F" w14:textId="77777777" w:rsidR="00CF1C6F" w:rsidRDefault="00CF1C6F" w:rsidP="00CF1C6F">
      <w:pPr>
        <w:rPr>
          <w:lang w:val="en-US"/>
        </w:rPr>
      </w:pPr>
      <w:r>
        <w:rPr>
          <w:lang w:val="en-US"/>
        </w:rPr>
        <w:t>GRECO</w:t>
      </w:r>
    </w:p>
    <w:p w14:paraId="5003CCAA" w14:textId="77777777" w:rsidR="00CF1C6F" w:rsidRPr="00CF1C6F" w:rsidRDefault="003E00FF" w:rsidP="00CF1C6F">
      <w:pPr>
        <w:rPr>
          <w:lang w:val="en-GB"/>
        </w:rPr>
      </w:pPr>
      <w:hyperlink r:id="rId81" w:history="1">
        <w:r w:rsidR="00CF1C6F" w:rsidRPr="003308D0">
          <w:rPr>
            <w:rStyle w:val="Hyperlink"/>
            <w:lang w:val="en-GB"/>
          </w:rPr>
          <w:t>https://www.coe.int/en/web/greco/evaluations/cyprus</w:t>
        </w:r>
      </w:hyperlink>
    </w:p>
    <w:p w14:paraId="3CCF70E0"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7D2A070E"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7" w:name="_Toc36635834"/>
      <w:r w:rsidRPr="00546B57">
        <w:rPr>
          <w:lang w:val="en-US"/>
        </w:rPr>
        <w:t>19. List of relevant authorities (</w:t>
      </w:r>
      <w:proofErr w:type="gramStart"/>
      <w:r w:rsidRPr="00546B57">
        <w:rPr>
          <w:lang w:val="en-US"/>
        </w:rPr>
        <w:t>e.g.</w:t>
      </w:r>
      <w:proofErr w:type="gramEnd"/>
      <w:r w:rsidRPr="00546B57">
        <w:rPr>
          <w:lang w:val="en-US"/>
        </w:rPr>
        <w:t xml:space="preserve"> national agencies, bodies) in charge of prevention detection, investigation and prosecution of corruption. Where possible, please indicate the resources allocated to these (the human, financial, legal, and practical resources as relevant).</w:t>
      </w:r>
      <w:bookmarkEnd w:id="27"/>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0A721C1B" w:rsidR="004A628B" w:rsidRDefault="004A628B" w:rsidP="004A628B">
      <w:pPr>
        <w:pStyle w:val="Heading2"/>
        <w:rPr>
          <w:lang w:val="en-US"/>
        </w:rPr>
      </w:pPr>
      <w:bookmarkStart w:id="28" w:name="_Toc36635835"/>
      <w:r w:rsidRPr="00546B57">
        <w:rPr>
          <w:lang w:val="en-US"/>
        </w:rPr>
        <w:t>B. Prevention</w:t>
      </w:r>
      <w:bookmarkEnd w:id="28"/>
      <w:r w:rsidRPr="00546B57">
        <w:rPr>
          <w:lang w:val="en-US"/>
        </w:rPr>
        <w:t xml:space="preserve"> </w:t>
      </w:r>
    </w:p>
    <w:p w14:paraId="56ACE2BE" w14:textId="32519ECA" w:rsidR="00734D8B" w:rsidRDefault="00734D8B" w:rsidP="00734D8B">
      <w:pPr>
        <w:rPr>
          <w:lang w:val="en-US"/>
        </w:rPr>
      </w:pPr>
    </w:p>
    <w:p w14:paraId="5F80F2FC" w14:textId="77777777" w:rsidR="000A39DA" w:rsidRPr="00F80B1E" w:rsidRDefault="000A39DA" w:rsidP="000A39DA">
      <w:pPr>
        <w:rPr>
          <w:lang w:val="en-US"/>
        </w:rPr>
      </w:pPr>
      <w:r w:rsidRPr="00F80B1E">
        <w:rPr>
          <w:lang w:val="en-US"/>
        </w:rPr>
        <w:t>GRECO</w:t>
      </w:r>
    </w:p>
    <w:p w14:paraId="70F688E2" w14:textId="77777777" w:rsidR="000A39DA" w:rsidRPr="00F80B1E" w:rsidRDefault="000A39DA" w:rsidP="000A39DA">
      <w:pPr>
        <w:rPr>
          <w:lang w:val="en-US"/>
        </w:rPr>
      </w:pPr>
      <w:r w:rsidRPr="00F80B1E">
        <w:rPr>
          <w:lang w:val="en-US"/>
        </w:rPr>
        <w:t>Guidelines addressed to GRECO 50 Member States</w:t>
      </w:r>
    </w:p>
    <w:p w14:paraId="3CEE300D" w14:textId="77777777" w:rsidR="000A39DA" w:rsidRPr="00F80B1E" w:rsidRDefault="003E00FF" w:rsidP="000A39DA">
      <w:pPr>
        <w:rPr>
          <w:rStyle w:val="Hyperlink"/>
          <w:lang w:val="en-GB"/>
        </w:rPr>
      </w:pPr>
      <w:hyperlink r:id="rId82" w:history="1">
        <w:r w:rsidR="000A39DA" w:rsidRPr="00F80B1E">
          <w:rPr>
            <w:rStyle w:val="Hyperlink"/>
            <w:lang w:val="en-US"/>
          </w:rPr>
          <w:t>Corruption Risks and Useful Legal References in the context of COVID-19</w:t>
        </w:r>
      </w:hyperlink>
      <w:r w:rsidR="000A39DA" w:rsidRPr="00F80B1E">
        <w:rPr>
          <w:rStyle w:val="Hyperlink"/>
          <w:lang w:val="en-US"/>
        </w:rPr>
        <w:t xml:space="preserve"> </w:t>
      </w:r>
    </w:p>
    <w:p w14:paraId="18B63692" w14:textId="77777777" w:rsidR="000A39DA" w:rsidRPr="00754B40" w:rsidRDefault="000A39DA" w:rsidP="000A39DA">
      <w:pPr>
        <w:rPr>
          <w:lang w:val="en-GB"/>
        </w:rPr>
      </w:pPr>
      <w:r w:rsidRPr="00F80B1E">
        <w:rPr>
          <w:rStyle w:val="Hyperlink"/>
          <w:lang w:val="en-US"/>
        </w:rPr>
        <w:t>Published 21/04/2020</w:t>
      </w:r>
    </w:p>
    <w:p w14:paraId="004589B9" w14:textId="77777777" w:rsidR="000A39DA" w:rsidRDefault="000A39DA" w:rsidP="00734D8B">
      <w:pPr>
        <w:rPr>
          <w:lang w:val="en-US"/>
        </w:rPr>
      </w:pPr>
    </w:p>
    <w:p w14:paraId="4F4F9841" w14:textId="64D13E90" w:rsidR="00734D8B" w:rsidRDefault="00734D8B" w:rsidP="00734D8B">
      <w:pPr>
        <w:rPr>
          <w:lang w:val="en-US"/>
        </w:rPr>
      </w:pPr>
    </w:p>
    <w:p w14:paraId="505DA171" w14:textId="77777777" w:rsidR="00CF1C6F" w:rsidRDefault="00CF1C6F" w:rsidP="00CF1C6F">
      <w:pPr>
        <w:rPr>
          <w:lang w:val="en-US"/>
        </w:rPr>
      </w:pPr>
      <w:r>
        <w:rPr>
          <w:lang w:val="en-US"/>
        </w:rPr>
        <w:t>GRECO</w:t>
      </w:r>
    </w:p>
    <w:p w14:paraId="3307418C" w14:textId="77777777" w:rsidR="00CF1C6F" w:rsidRPr="00CF1C6F" w:rsidRDefault="003E00FF" w:rsidP="00CF1C6F">
      <w:pPr>
        <w:rPr>
          <w:lang w:val="en-GB"/>
        </w:rPr>
      </w:pPr>
      <w:hyperlink r:id="rId83" w:history="1">
        <w:r w:rsidR="00CF1C6F" w:rsidRPr="003308D0">
          <w:rPr>
            <w:rStyle w:val="Hyperlink"/>
            <w:lang w:val="en-GB"/>
          </w:rPr>
          <w:t>https://www.coe.int/en/web/greco/evaluations/cyprus</w:t>
        </w:r>
      </w:hyperlink>
    </w:p>
    <w:p w14:paraId="386A5500" w14:textId="77777777" w:rsidR="00CF1C6F" w:rsidRPr="00CF1C6F" w:rsidRDefault="00CF1C6F" w:rsidP="00CF1C6F">
      <w:pPr>
        <w:rPr>
          <w:lang w:val="en-GB"/>
        </w:rPr>
      </w:pPr>
      <w:r w:rsidRPr="00CF1C6F">
        <w:rPr>
          <w:lang w:val="en-GB"/>
        </w:rPr>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624BC33B"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29" w:name="_Toc36635836"/>
      <w:r w:rsidRPr="00546B57">
        <w:rPr>
          <w:lang w:val="en-US"/>
        </w:rPr>
        <w:t>20. Integrity framework: asset disclosure rules, lobbying, revolving doors and general transparency of public decision-making (including public access to information)</w:t>
      </w:r>
      <w:bookmarkEnd w:id="29"/>
      <w:r w:rsidRPr="00546B57">
        <w:rPr>
          <w:lang w:val="en-US"/>
        </w:rPr>
        <w:t xml:space="preserve"> </w:t>
      </w:r>
    </w:p>
    <w:p w14:paraId="3AE105C4" w14:textId="34BC6EB3" w:rsidR="004A628B" w:rsidRPr="00546B57" w:rsidRDefault="004A628B" w:rsidP="004A628B">
      <w:pPr>
        <w:pStyle w:val="Heading3"/>
        <w:rPr>
          <w:lang w:val="en-US"/>
        </w:rPr>
      </w:pPr>
      <w:bookmarkStart w:id="30" w:name="_Toc36635837"/>
      <w:r w:rsidRPr="00546B57">
        <w:rPr>
          <w:lang w:val="en-US"/>
        </w:rPr>
        <w:t>21. Rules on preventing conflict of interests in the public sector</w:t>
      </w:r>
      <w:bookmarkEnd w:id="30"/>
      <w:r w:rsidRPr="00546B57">
        <w:rPr>
          <w:lang w:val="en-US"/>
        </w:rPr>
        <w:t xml:space="preserve"> </w:t>
      </w:r>
    </w:p>
    <w:p w14:paraId="65A702B2" w14:textId="74B40C2F" w:rsidR="004A628B" w:rsidRPr="00546B57" w:rsidRDefault="004A628B" w:rsidP="004A628B">
      <w:pPr>
        <w:pStyle w:val="Heading3"/>
        <w:rPr>
          <w:lang w:val="en-US"/>
        </w:rPr>
      </w:pPr>
      <w:bookmarkStart w:id="31" w:name="_Toc36635838"/>
      <w:r w:rsidRPr="00546B57">
        <w:rPr>
          <w:lang w:val="en-US"/>
        </w:rPr>
        <w:t>22. Measures in place to ensure Whistle-blower protection and encourage reporting of corruption</w:t>
      </w:r>
      <w:bookmarkEnd w:id="31"/>
      <w:r w:rsidRPr="00546B57">
        <w:rPr>
          <w:lang w:val="en-US"/>
        </w:rPr>
        <w:t xml:space="preserve"> </w:t>
      </w:r>
    </w:p>
    <w:p w14:paraId="531F6657" w14:textId="54320E25" w:rsidR="004A628B" w:rsidRPr="00546B57" w:rsidRDefault="004A628B" w:rsidP="004A628B">
      <w:pPr>
        <w:pStyle w:val="Heading3"/>
        <w:rPr>
          <w:lang w:val="en-US"/>
        </w:rPr>
      </w:pPr>
      <w:bookmarkStart w:id="32" w:name="_Toc36635839"/>
      <w:r w:rsidRPr="00546B57">
        <w:rPr>
          <w:lang w:val="en-US"/>
        </w:rPr>
        <w:t xml:space="preserve">23. List the sectors with </w:t>
      </w:r>
      <w:proofErr w:type="gramStart"/>
      <w:r w:rsidRPr="00546B57">
        <w:rPr>
          <w:lang w:val="en-US"/>
        </w:rPr>
        <w:t>high-risks</w:t>
      </w:r>
      <w:proofErr w:type="gramEnd"/>
      <w:r w:rsidRPr="00546B57">
        <w:rPr>
          <w:lang w:val="en-US"/>
        </w:rPr>
        <w:t xml:space="preserve"> of corruption in your Member State and list the relevant measures taken/envisaged for preventing corruption in these sectors. (</w:t>
      </w:r>
      <w:proofErr w:type="gramStart"/>
      <w:r w:rsidRPr="00546B57">
        <w:rPr>
          <w:lang w:val="en-US"/>
        </w:rPr>
        <w:t>e.g.</w:t>
      </w:r>
      <w:proofErr w:type="gramEnd"/>
      <w:r w:rsidRPr="00546B57">
        <w:rPr>
          <w:lang w:val="en-US"/>
        </w:rPr>
        <w:t xml:space="preserve"> public procurement, healthcare, other).</w:t>
      </w:r>
      <w:bookmarkEnd w:id="32"/>
      <w:r w:rsidRPr="00546B57">
        <w:rPr>
          <w:lang w:val="en-US"/>
        </w:rPr>
        <w:t xml:space="preserve"> </w:t>
      </w:r>
    </w:p>
    <w:p w14:paraId="76A60539" w14:textId="3D4E13D7" w:rsidR="004A628B" w:rsidRPr="00546B57" w:rsidRDefault="004A628B" w:rsidP="004A628B">
      <w:pPr>
        <w:pStyle w:val="Heading3"/>
        <w:rPr>
          <w:lang w:val="en-US"/>
        </w:rPr>
      </w:pPr>
      <w:bookmarkStart w:id="33" w:name="_Toc36635840"/>
      <w:r w:rsidRPr="00546B57">
        <w:rPr>
          <w:lang w:val="en-US"/>
        </w:rPr>
        <w:t>24. Any other relevant measures to prevent corruption in public and private sector</w:t>
      </w:r>
      <w:bookmarkEnd w:id="33"/>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4" w:name="_Toc36635841"/>
      <w:r w:rsidRPr="00546B57">
        <w:rPr>
          <w:lang w:val="en-US"/>
        </w:rPr>
        <w:t>C. Repressive measures</w:t>
      </w:r>
      <w:bookmarkEnd w:id="34"/>
      <w:r w:rsidRPr="00546B57">
        <w:rPr>
          <w:lang w:val="en-US"/>
        </w:rPr>
        <w:t xml:space="preserve"> </w:t>
      </w:r>
    </w:p>
    <w:p w14:paraId="304D4F8C" w14:textId="18F45155" w:rsidR="00734D8B" w:rsidRDefault="00734D8B" w:rsidP="00734D8B">
      <w:pPr>
        <w:rPr>
          <w:lang w:val="en-US"/>
        </w:rPr>
      </w:pPr>
    </w:p>
    <w:p w14:paraId="24980FB1" w14:textId="77777777" w:rsidR="00754B40" w:rsidRPr="00F80B1E" w:rsidRDefault="00754B40" w:rsidP="00754B40">
      <w:pPr>
        <w:rPr>
          <w:lang w:val="en-US"/>
        </w:rPr>
      </w:pPr>
      <w:r w:rsidRPr="00F80B1E">
        <w:rPr>
          <w:lang w:val="en-US"/>
        </w:rPr>
        <w:t>GRECO</w:t>
      </w:r>
    </w:p>
    <w:p w14:paraId="789EC98C" w14:textId="77777777" w:rsidR="00754B40" w:rsidRPr="00F80B1E" w:rsidRDefault="003E00FF" w:rsidP="00754B40">
      <w:pPr>
        <w:rPr>
          <w:lang w:val="en-US"/>
        </w:rPr>
      </w:pPr>
      <w:hyperlink r:id="rId84" w:history="1">
        <w:r w:rsidR="00754B40" w:rsidRPr="00F80B1E">
          <w:rPr>
            <w:rStyle w:val="Hyperlink"/>
            <w:lang w:val="en-US"/>
          </w:rPr>
          <w:t>https://rm.coe.int/fourth-evaluation-round-corruption-prevention-in-respect-of-members-of/1680a06389</w:t>
        </w:r>
      </w:hyperlink>
    </w:p>
    <w:p w14:paraId="7EA6EE4D" w14:textId="77777777" w:rsidR="00754B40" w:rsidRPr="00CF1C6F" w:rsidRDefault="00754B40" w:rsidP="00754B40">
      <w:pPr>
        <w:rPr>
          <w:lang w:val="en-GB"/>
        </w:rPr>
      </w:pPr>
      <w:r w:rsidRPr="00F80B1E">
        <w:rPr>
          <w:lang w:val="en-GB"/>
        </w:rPr>
        <w:t>4</w:t>
      </w:r>
      <w:r w:rsidRPr="00F80B1E">
        <w:rPr>
          <w:vertAlign w:val="superscript"/>
          <w:lang w:val="en-GB"/>
        </w:rPr>
        <w:t>th</w:t>
      </w:r>
      <w:r w:rsidRPr="00F80B1E">
        <w:rPr>
          <w:lang w:val="en-GB"/>
        </w:rPr>
        <w:t xml:space="preserve"> round: Second Compliance report corruption prevention in respect of MPs, </w:t>
      </w:r>
      <w:proofErr w:type="gramStart"/>
      <w:r w:rsidRPr="00F80B1E">
        <w:rPr>
          <w:lang w:val="en-GB"/>
        </w:rPr>
        <w:t>judges</w:t>
      </w:r>
      <w:proofErr w:type="gramEnd"/>
      <w:r w:rsidRPr="00F80B1E">
        <w:rPr>
          <w:lang w:val="en-GB"/>
        </w:rPr>
        <w:t xml:space="preserve"> and prosecutors</w:t>
      </w:r>
    </w:p>
    <w:p w14:paraId="6FE0F807" w14:textId="77777777" w:rsidR="00754B40" w:rsidRPr="00754B40" w:rsidRDefault="00754B40" w:rsidP="00734D8B">
      <w:pPr>
        <w:rPr>
          <w:lang w:val="en-GB"/>
        </w:rPr>
      </w:pPr>
    </w:p>
    <w:p w14:paraId="0F8D8D4C" w14:textId="77777777" w:rsidR="00CF1C6F" w:rsidRDefault="00CF1C6F" w:rsidP="00CF1C6F">
      <w:pPr>
        <w:rPr>
          <w:lang w:val="en-US"/>
        </w:rPr>
      </w:pPr>
      <w:r>
        <w:rPr>
          <w:lang w:val="en-US"/>
        </w:rPr>
        <w:t>GRECO</w:t>
      </w:r>
    </w:p>
    <w:p w14:paraId="44724E70" w14:textId="77777777" w:rsidR="00CF1C6F" w:rsidRPr="00CF1C6F" w:rsidRDefault="003E00FF" w:rsidP="00CF1C6F">
      <w:pPr>
        <w:rPr>
          <w:lang w:val="en-GB"/>
        </w:rPr>
      </w:pPr>
      <w:hyperlink r:id="rId85" w:history="1">
        <w:r w:rsidR="00CF1C6F" w:rsidRPr="003308D0">
          <w:rPr>
            <w:rStyle w:val="Hyperlink"/>
            <w:lang w:val="en-GB"/>
          </w:rPr>
          <w:t>https://www.coe.int/en/web/greco/evaluations/cyprus</w:t>
        </w:r>
      </w:hyperlink>
    </w:p>
    <w:p w14:paraId="7037F082" w14:textId="77777777" w:rsidR="00CF1C6F" w:rsidRPr="00CF1C6F" w:rsidRDefault="00CF1C6F" w:rsidP="00CF1C6F">
      <w:pPr>
        <w:rPr>
          <w:lang w:val="en-GB"/>
        </w:rPr>
      </w:pPr>
      <w:r w:rsidRPr="00CF1C6F">
        <w:rPr>
          <w:lang w:val="en-GB"/>
        </w:rPr>
        <w:lastRenderedPageBreak/>
        <w:t>4</w:t>
      </w:r>
      <w:r w:rsidRPr="00CF1C6F">
        <w:rPr>
          <w:vertAlign w:val="superscript"/>
          <w:lang w:val="en-GB"/>
        </w:rPr>
        <w:t>th</w:t>
      </w:r>
      <w:r w:rsidRPr="00CF1C6F">
        <w:rPr>
          <w:lang w:val="en-GB"/>
        </w:rPr>
        <w:t xml:space="preserve"> round: corruption prevention in respect of MPs, </w:t>
      </w:r>
      <w:proofErr w:type="gramStart"/>
      <w:r w:rsidRPr="00CF1C6F">
        <w:rPr>
          <w:lang w:val="en-GB"/>
        </w:rPr>
        <w:t>judges</w:t>
      </w:r>
      <w:proofErr w:type="gramEnd"/>
      <w:r w:rsidRPr="00CF1C6F">
        <w:rPr>
          <w:lang w:val="en-GB"/>
        </w:rPr>
        <w:t xml:space="preserve"> and prosecutors</w:t>
      </w:r>
    </w:p>
    <w:p w14:paraId="2D12928E" w14:textId="77777777" w:rsidR="00CF1C6F" w:rsidRPr="00CF1C6F" w:rsidRDefault="00CF1C6F" w:rsidP="00CF1C6F">
      <w:pPr>
        <w:rPr>
          <w:lang w:val="en-GB"/>
        </w:rPr>
      </w:pPr>
      <w:r w:rsidRPr="00CF1C6F">
        <w:rPr>
          <w:lang w:val="en-GB"/>
        </w:rPr>
        <w:t>3</w:t>
      </w:r>
      <w:r w:rsidRPr="00CF1C6F">
        <w:rPr>
          <w:vertAlign w:val="superscript"/>
          <w:lang w:val="en-GB"/>
        </w:rPr>
        <w:t>rd</w:t>
      </w:r>
      <w:r w:rsidRPr="00CF1C6F">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5"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5"/>
      <w:r w:rsidRPr="00546B57">
        <w:rPr>
          <w:lang w:val="en-US"/>
        </w:rPr>
        <w:t xml:space="preserve"> </w:t>
      </w:r>
    </w:p>
    <w:p w14:paraId="0B9E37F8" w14:textId="3EBB9257" w:rsidR="004A628B" w:rsidRPr="00546B57" w:rsidRDefault="004A628B" w:rsidP="004A628B">
      <w:pPr>
        <w:pStyle w:val="Heading3"/>
        <w:rPr>
          <w:lang w:val="en-US"/>
        </w:rPr>
      </w:pPr>
      <w:bookmarkStart w:id="36" w:name="_Toc36635843"/>
      <w:r w:rsidRPr="00546B57">
        <w:rPr>
          <w:lang w:val="en-US"/>
        </w:rPr>
        <w:t>26. Overview of application of sanctions (criminal and non-criminal) for corruption offences (including for legal persons)</w:t>
      </w:r>
      <w:bookmarkEnd w:id="36"/>
      <w:r w:rsidRPr="00546B57">
        <w:rPr>
          <w:lang w:val="en-US"/>
        </w:rPr>
        <w:t xml:space="preserve"> </w:t>
      </w:r>
    </w:p>
    <w:p w14:paraId="4FD5D340" w14:textId="1B018214" w:rsidR="004A628B" w:rsidRDefault="004A628B" w:rsidP="004A628B">
      <w:pPr>
        <w:pStyle w:val="Heading3"/>
        <w:rPr>
          <w:lang w:val="en-US"/>
        </w:rPr>
      </w:pPr>
      <w:bookmarkStart w:id="37" w:name="_Toc36635844"/>
      <w:r w:rsidRPr="00546B57">
        <w:rPr>
          <w:lang w:val="en-US"/>
        </w:rPr>
        <w:t xml:space="preserve">27. Potential obstacles to investigation and prosecution of high-level and complex corruption </w:t>
      </w:r>
      <w:proofErr w:type="gramStart"/>
      <w:r w:rsidRPr="00546B57">
        <w:rPr>
          <w:lang w:val="en-US"/>
        </w:rPr>
        <w:t>cases(</w:t>
      </w:r>
      <w:proofErr w:type="gramEnd"/>
      <w:r w:rsidRPr="00546B57">
        <w:rPr>
          <w:lang w:val="en-US"/>
        </w:rPr>
        <w:t>e.g. political immunity regulation)</w:t>
      </w:r>
      <w:bookmarkEnd w:id="37"/>
      <w:r w:rsidRPr="00546B57">
        <w:rPr>
          <w:lang w:val="en-US"/>
        </w:rPr>
        <w:t xml:space="preserve"> </w:t>
      </w:r>
    </w:p>
    <w:p w14:paraId="23E7ED45" w14:textId="138625CB" w:rsidR="00AF3955" w:rsidRDefault="00AF3955" w:rsidP="00AF3955">
      <w:pPr>
        <w:rPr>
          <w:lang w:val="en-US"/>
        </w:rPr>
      </w:pPr>
    </w:p>
    <w:p w14:paraId="1C64994A" w14:textId="77777777" w:rsidR="00AF3955" w:rsidRPr="00AF3955" w:rsidRDefault="00AF3955" w:rsidP="00AF3955">
      <w:pPr>
        <w:rPr>
          <w:lang w:val="en-US"/>
        </w:rPr>
      </w:pP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8" w:name="_Toc36635845"/>
      <w:r>
        <w:rPr>
          <w:lang w:val="en-US"/>
        </w:rPr>
        <w:t xml:space="preserve">III </w:t>
      </w:r>
      <w:r w:rsidR="004A628B" w:rsidRPr="00546B57">
        <w:rPr>
          <w:lang w:val="en-US"/>
        </w:rPr>
        <w:t>Media pluralism</w:t>
      </w:r>
      <w:bookmarkEnd w:id="38"/>
      <w:r w:rsidR="004A628B" w:rsidRPr="00546B57">
        <w:rPr>
          <w:lang w:val="en-US"/>
        </w:rPr>
        <w:t xml:space="preserve"> </w:t>
      </w:r>
    </w:p>
    <w:p w14:paraId="64B8480E" w14:textId="77777777" w:rsidR="004A628B" w:rsidRPr="00546B57" w:rsidRDefault="004A628B" w:rsidP="004A628B">
      <w:pPr>
        <w:pStyle w:val="Default"/>
        <w:ind w:left="1080"/>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39" w:name="_Toc36635846"/>
      <w:r w:rsidRPr="00546B57">
        <w:rPr>
          <w:lang w:val="en-US"/>
        </w:rPr>
        <w:t>A. Media regulatory authorities and bodies</w:t>
      </w:r>
      <w:bookmarkEnd w:id="39"/>
    </w:p>
    <w:p w14:paraId="02401DD1" w14:textId="2862EA33" w:rsidR="004A628B" w:rsidRDefault="004A628B" w:rsidP="004A628B">
      <w:pPr>
        <w:pStyle w:val="Heading3"/>
        <w:rPr>
          <w:lang w:val="en-US"/>
        </w:rPr>
      </w:pPr>
      <w:bookmarkStart w:id="40" w:name="_Toc36635847"/>
      <w:r w:rsidRPr="00546B57">
        <w:rPr>
          <w:lang w:val="en-US"/>
        </w:rPr>
        <w:t>28. Independence, enforcement powers and adequacy of resources of media authorities and bodies</w:t>
      </w:r>
      <w:bookmarkEnd w:id="40"/>
      <w:r w:rsidRPr="00546B57">
        <w:rPr>
          <w:lang w:val="en-US"/>
        </w:rPr>
        <w:t xml:space="preserve"> </w:t>
      </w:r>
    </w:p>
    <w:p w14:paraId="4E2B0DA4" w14:textId="7E649019" w:rsidR="00E966BF" w:rsidRPr="00E24B0E" w:rsidRDefault="00E966BF" w:rsidP="00E966BF">
      <w:pPr>
        <w:rPr>
          <w:lang w:val="en-US"/>
        </w:rPr>
      </w:pPr>
      <w:r w:rsidRPr="00E24B0E">
        <w:rPr>
          <w:lang w:val="en-US"/>
        </w:rPr>
        <w:t xml:space="preserve">Relevant recommendation of the Committee of Ministers of the Council of Europe to member states: </w:t>
      </w:r>
    </w:p>
    <w:p w14:paraId="64B71FAC" w14:textId="77777777" w:rsidR="00E966BF" w:rsidRPr="00E24B0E" w:rsidRDefault="003E00FF" w:rsidP="00E966BF">
      <w:pPr>
        <w:rPr>
          <w:rFonts w:eastAsia="Times New Roman" w:cs="Times New Roman"/>
          <w:color w:val="44546A" w:themeColor="dark2"/>
          <w:lang w:val="en-GB" w:eastAsia="en-GB"/>
        </w:rPr>
      </w:pPr>
      <w:hyperlink r:id="rId86" w:history="1">
        <w:r w:rsidR="00E966BF" w:rsidRPr="00E24B0E">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6046F42E" w14:textId="77777777" w:rsidR="00E966BF" w:rsidRPr="00E24B0E" w:rsidRDefault="00E966BF" w:rsidP="00E966BF">
      <w:pPr>
        <w:rPr>
          <w:rFonts w:eastAsia="Times New Roman" w:cs="Times New Roman"/>
          <w:color w:val="44546A" w:themeColor="dark2"/>
          <w:lang w:val="en-GB" w:eastAsia="en-GB"/>
        </w:rPr>
      </w:pPr>
    </w:p>
    <w:p w14:paraId="75BF7CFE" w14:textId="77777777" w:rsidR="00E966BF" w:rsidRPr="000C0F1F" w:rsidRDefault="00E966BF" w:rsidP="00E966BF">
      <w:pPr>
        <w:rPr>
          <w:lang w:val="en-US"/>
        </w:rPr>
      </w:pPr>
    </w:p>
    <w:p w14:paraId="70C48389" w14:textId="76E715E7" w:rsidR="004A628B" w:rsidRPr="00546B57" w:rsidRDefault="004A628B" w:rsidP="004A628B">
      <w:pPr>
        <w:pStyle w:val="Heading3"/>
        <w:rPr>
          <w:lang w:val="en-US"/>
        </w:rPr>
      </w:pPr>
      <w:bookmarkStart w:id="41" w:name="_Toc36635848"/>
      <w:r w:rsidRPr="00546B57">
        <w:rPr>
          <w:lang w:val="en-US"/>
        </w:rPr>
        <w:t>29. Conditions and procedures for the appointment and dismissal of the head / members of the collegiate body of media authorities and bodies</w:t>
      </w:r>
      <w:bookmarkEnd w:id="41"/>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5D7A5D" w:rsidRDefault="004A628B" w:rsidP="004A628B">
      <w:pPr>
        <w:pStyle w:val="Heading2"/>
        <w:rPr>
          <w:lang w:val="en-US"/>
        </w:rPr>
      </w:pPr>
      <w:bookmarkStart w:id="42" w:name="_Toc36635849"/>
      <w:r w:rsidRPr="005D7A5D">
        <w:rPr>
          <w:lang w:val="en-US"/>
        </w:rPr>
        <w:t>B. Transparency of media ownership and government interference</w:t>
      </w:r>
      <w:bookmarkEnd w:id="42"/>
      <w:r w:rsidRPr="005D7A5D">
        <w:rPr>
          <w:lang w:val="en-US"/>
        </w:rPr>
        <w:t xml:space="preserve"> </w:t>
      </w:r>
    </w:p>
    <w:p w14:paraId="71628681" w14:textId="6BF5B903" w:rsidR="004A628B" w:rsidRPr="00546B57" w:rsidRDefault="004A628B" w:rsidP="004A628B">
      <w:pPr>
        <w:pStyle w:val="Heading3"/>
        <w:rPr>
          <w:lang w:val="en-US"/>
        </w:rPr>
      </w:pPr>
      <w:bookmarkStart w:id="43" w:name="_Toc36635850"/>
      <w:r w:rsidRPr="00546B57">
        <w:rPr>
          <w:lang w:val="en-US"/>
        </w:rPr>
        <w:t>30. The transparent allocation of state advertising (including any rules regulating the matter)</w:t>
      </w:r>
      <w:bookmarkEnd w:id="43"/>
      <w:r w:rsidRPr="00546B57">
        <w:rPr>
          <w:lang w:val="en-US"/>
        </w:rPr>
        <w:t xml:space="preserve"> </w:t>
      </w:r>
    </w:p>
    <w:p w14:paraId="6BCF01B7" w14:textId="7C352348" w:rsidR="004A628B" w:rsidRDefault="004A628B" w:rsidP="004A628B">
      <w:pPr>
        <w:pStyle w:val="Heading3"/>
        <w:rPr>
          <w:lang w:val="en-US"/>
        </w:rPr>
      </w:pPr>
      <w:bookmarkStart w:id="44" w:name="_Toc36635851"/>
      <w:r w:rsidRPr="00546B57">
        <w:rPr>
          <w:lang w:val="en-US"/>
        </w:rPr>
        <w:t>31. Public information campaigns on rule of law issues (</w:t>
      </w:r>
      <w:proofErr w:type="gramStart"/>
      <w:r w:rsidRPr="00546B57">
        <w:rPr>
          <w:lang w:val="en-US"/>
        </w:rPr>
        <w:t>e.g.</w:t>
      </w:r>
      <w:proofErr w:type="gramEnd"/>
      <w:r w:rsidRPr="00546B57">
        <w:rPr>
          <w:lang w:val="en-US"/>
        </w:rPr>
        <w:t xml:space="preserve"> on judges and prosecutors, journalists, civil society)</w:t>
      </w:r>
      <w:bookmarkEnd w:id="44"/>
      <w:r w:rsidRPr="00546B57">
        <w:rPr>
          <w:lang w:val="en-US"/>
        </w:rPr>
        <w:t xml:space="preserve"> </w:t>
      </w:r>
    </w:p>
    <w:p w14:paraId="1D977B71" w14:textId="77777777" w:rsidR="00D948B2" w:rsidRPr="00D948B2" w:rsidRDefault="00D948B2" w:rsidP="00D948B2">
      <w:pPr>
        <w:rPr>
          <w:lang w:val="en-US"/>
        </w:rPr>
      </w:pPr>
    </w:p>
    <w:p w14:paraId="6511F01B" w14:textId="77777777" w:rsidR="00D948B2" w:rsidRPr="00D948B2" w:rsidRDefault="00D948B2" w:rsidP="00D948B2">
      <w:pPr>
        <w:rPr>
          <w:highlight w:val="yellow"/>
          <w:lang w:val="en-US"/>
        </w:rPr>
      </w:pPr>
      <w:r w:rsidRPr="00D948B2">
        <w:rPr>
          <w:highlight w:val="yellow"/>
          <w:lang w:val="en-GB"/>
        </w:rPr>
        <w:t>Office of the Commissioner for Human Rights</w:t>
      </w:r>
    </w:p>
    <w:p w14:paraId="500892AE" w14:textId="77777777" w:rsidR="00D948B2" w:rsidRPr="00A53132" w:rsidRDefault="003E00FF" w:rsidP="00D948B2">
      <w:pPr>
        <w:outlineLvl w:val="0"/>
        <w:rPr>
          <w:rFonts w:cs="Arial"/>
          <w:lang w:val="en-US"/>
        </w:rPr>
      </w:pPr>
      <w:hyperlink r:id="rId87" w:history="1">
        <w:r w:rsidR="00D948B2" w:rsidRPr="00D948B2">
          <w:rPr>
            <w:rStyle w:val="Hyperlink"/>
            <w:rFonts w:cs="Arial"/>
            <w:highlight w:val="yellow"/>
            <w:lang w:val="en-US"/>
          </w:rPr>
          <w:t>Letter</w:t>
        </w:r>
      </w:hyperlink>
      <w:r w:rsidR="00D948B2" w:rsidRPr="00D948B2">
        <w:rPr>
          <w:rFonts w:cs="Arial"/>
          <w:highlight w:val="yellow"/>
          <w:lang w:val="en-US"/>
        </w:rPr>
        <w:t xml:space="preserve"> from the Council of Europe Commissioner for Human Rights to </w:t>
      </w:r>
      <w:proofErr w:type="spellStart"/>
      <w:r w:rsidR="00D948B2" w:rsidRPr="00D948B2">
        <w:rPr>
          <w:rFonts w:cs="Arial"/>
          <w:highlight w:val="yellow"/>
          <w:lang w:val="en-US"/>
        </w:rPr>
        <w:t>Nicos</w:t>
      </w:r>
      <w:proofErr w:type="spellEnd"/>
      <w:r w:rsidR="00D948B2" w:rsidRPr="00D948B2">
        <w:rPr>
          <w:rFonts w:cs="Arial"/>
          <w:highlight w:val="yellow"/>
          <w:lang w:val="en-US"/>
        </w:rPr>
        <w:t xml:space="preserve"> </w:t>
      </w:r>
      <w:proofErr w:type="spellStart"/>
      <w:r w:rsidR="00D948B2" w:rsidRPr="00D948B2">
        <w:rPr>
          <w:rFonts w:cs="Arial"/>
          <w:highlight w:val="yellow"/>
          <w:lang w:val="en-US"/>
        </w:rPr>
        <w:t>Nouris</w:t>
      </w:r>
      <w:proofErr w:type="spellEnd"/>
      <w:r w:rsidR="00D948B2" w:rsidRPr="00D948B2">
        <w:rPr>
          <w:rFonts w:cs="Arial"/>
          <w:highlight w:val="yellow"/>
          <w:lang w:val="en-US"/>
        </w:rPr>
        <w:t xml:space="preserve">, Minister of Interior of Cyprus, on investigating allegations of pushbacks and ill-treatment of migrants, improving reception conditions, and </w:t>
      </w:r>
      <w:r w:rsidR="00D948B2" w:rsidRPr="00D948B2">
        <w:rPr>
          <w:rFonts w:cs="Arial"/>
          <w:highlight w:val="yellow"/>
          <w:u w:val="single"/>
          <w:lang w:val="en-US"/>
        </w:rPr>
        <w:t>ensuring an enabling environment for NGOs</w:t>
      </w:r>
      <w:r w:rsidR="00D948B2" w:rsidRPr="00D948B2">
        <w:rPr>
          <w:rFonts w:cs="Arial"/>
          <w:highlight w:val="yellow"/>
          <w:lang w:val="en-US"/>
        </w:rPr>
        <w:t xml:space="preserve"> (dated 10 March 2021 and published on 18 March 2021).</w:t>
      </w:r>
    </w:p>
    <w:p w14:paraId="5AC821B4" w14:textId="4AC1EBCE" w:rsidR="00D948B2" w:rsidRDefault="00D948B2" w:rsidP="00D948B2">
      <w:pPr>
        <w:rPr>
          <w:lang w:val="en-US"/>
        </w:rPr>
      </w:pPr>
    </w:p>
    <w:p w14:paraId="410DF8A4" w14:textId="77777777" w:rsidR="00D948B2" w:rsidRPr="00D948B2" w:rsidRDefault="00D948B2" w:rsidP="00D948B2">
      <w:pPr>
        <w:rPr>
          <w:lang w:val="en-US"/>
        </w:rPr>
      </w:pPr>
    </w:p>
    <w:p w14:paraId="56C268EB" w14:textId="77777777" w:rsidR="00AE355A" w:rsidRPr="00F80B1E" w:rsidRDefault="00AE355A" w:rsidP="00AE355A">
      <w:pPr>
        <w:rPr>
          <w:lang w:val="en-US"/>
        </w:rPr>
      </w:pPr>
      <w:r w:rsidRPr="00F80B1E">
        <w:rPr>
          <w:lang w:val="en-GB"/>
        </w:rPr>
        <w:t>Office of the Commissioner for Human Rights</w:t>
      </w:r>
    </w:p>
    <w:p w14:paraId="7B3FE32C" w14:textId="77777777" w:rsidR="00AE355A" w:rsidRPr="00F80B1E" w:rsidRDefault="003E00FF" w:rsidP="00AE355A">
      <w:pPr>
        <w:outlineLvl w:val="0"/>
        <w:rPr>
          <w:iCs/>
          <w:lang w:val="en-GB"/>
        </w:rPr>
      </w:pPr>
      <w:hyperlink r:id="rId88" w:history="1">
        <w:r w:rsidR="00AE355A" w:rsidRPr="00F80B1E">
          <w:rPr>
            <w:rStyle w:val="Hyperlink"/>
            <w:iCs/>
            <w:lang w:val="en-US"/>
          </w:rPr>
          <w:t xml:space="preserve">Time to </w:t>
        </w:r>
        <w:proofErr w:type="gramStart"/>
        <w:r w:rsidR="00AE355A" w:rsidRPr="00F80B1E">
          <w:rPr>
            <w:rStyle w:val="Hyperlink"/>
            <w:iCs/>
            <w:lang w:val="en-US"/>
          </w:rPr>
          <w:t>take action</w:t>
        </w:r>
        <w:proofErr w:type="gramEnd"/>
        <w:r w:rsidR="00AE355A" w:rsidRPr="00F80B1E">
          <w:rPr>
            <w:rStyle w:val="Hyperlink"/>
            <w:iCs/>
            <w:lang w:val="en-US"/>
          </w:rPr>
          <w:t xml:space="preserve"> against SLAPPs - Human Rights Comments - Commissioner for Human Rights (coe.int)</w:t>
        </w:r>
      </w:hyperlink>
      <w:r w:rsidR="00AE355A" w:rsidRPr="00F80B1E">
        <w:rPr>
          <w:iCs/>
          <w:lang w:val="en-GB"/>
        </w:rPr>
        <w:t xml:space="preserve"> – published on 27 October 2020</w:t>
      </w:r>
    </w:p>
    <w:p w14:paraId="334F89C0" w14:textId="77777777" w:rsidR="00AE355A" w:rsidRPr="00F80B1E" w:rsidRDefault="00AE355A" w:rsidP="00AE355A">
      <w:pPr>
        <w:rPr>
          <w:lang w:val="en-GB"/>
        </w:rPr>
      </w:pPr>
    </w:p>
    <w:p w14:paraId="7F81B73F" w14:textId="62EDEF02" w:rsidR="004A628B" w:rsidRPr="00F80B1E" w:rsidRDefault="004A628B" w:rsidP="004A628B">
      <w:pPr>
        <w:pStyle w:val="Heading3"/>
        <w:rPr>
          <w:lang w:val="en-US"/>
        </w:rPr>
      </w:pPr>
      <w:bookmarkStart w:id="45" w:name="_Toc36635852"/>
      <w:r w:rsidRPr="00F80B1E">
        <w:rPr>
          <w:lang w:val="en-US"/>
        </w:rPr>
        <w:t>32. Rules governing transparency of media ownership</w:t>
      </w:r>
      <w:bookmarkEnd w:id="45"/>
      <w:r w:rsidRPr="00F80B1E">
        <w:rPr>
          <w:lang w:val="en-US"/>
        </w:rPr>
        <w:t xml:space="preserve"> </w:t>
      </w:r>
    </w:p>
    <w:p w14:paraId="2A1005FB" w14:textId="5DF10302" w:rsidR="00AF3955" w:rsidRPr="00F80B1E" w:rsidRDefault="00AF3955" w:rsidP="00AF3955">
      <w:pPr>
        <w:pStyle w:val="Default"/>
        <w:rPr>
          <w:color w:val="auto"/>
          <w:sz w:val="22"/>
          <w:szCs w:val="22"/>
          <w:lang w:val="en-US"/>
        </w:rPr>
      </w:pPr>
      <w:bookmarkStart w:id="46" w:name="_Hlk38532351"/>
      <w:r w:rsidRPr="00F80B1E">
        <w:rPr>
          <w:rFonts w:eastAsiaTheme="minorEastAsia" w:cstheme="minorBidi"/>
          <w:color w:val="auto"/>
          <w:sz w:val="20"/>
          <w:szCs w:val="20"/>
          <w:lang w:val="en-US"/>
        </w:rPr>
        <w:t>Relevant recommendation of the Committee of Ministers of the Council of Europe to member states:</w:t>
      </w:r>
    </w:p>
    <w:p w14:paraId="43C23404" w14:textId="77777777" w:rsidR="00AF3955" w:rsidRPr="00F80B1E" w:rsidRDefault="003E00FF" w:rsidP="00AF3955">
      <w:pPr>
        <w:rPr>
          <w:rFonts w:eastAsia="Times New Roman" w:cs="Times New Roman"/>
          <w:color w:val="44546A" w:themeColor="dark2"/>
          <w:lang w:val="en-GB" w:eastAsia="en-GB"/>
        </w:rPr>
      </w:pPr>
      <w:hyperlink r:id="rId89" w:history="1">
        <w:r w:rsidR="00AF3955" w:rsidRPr="00F80B1E">
          <w:rPr>
            <w:rStyle w:val="Hyperlink"/>
            <w:rFonts w:eastAsia="Times New Roman"/>
            <w:lang w:val="en-GB" w:eastAsia="en-GB"/>
          </w:rPr>
          <w:t>Recommendation CM/</w:t>
        </w:r>
        <w:proofErr w:type="gramStart"/>
        <w:r w:rsidR="00AF3955" w:rsidRPr="00F80B1E">
          <w:rPr>
            <w:rStyle w:val="Hyperlink"/>
            <w:rFonts w:eastAsia="Times New Roman"/>
            <w:lang w:val="en-GB" w:eastAsia="en-GB"/>
          </w:rPr>
          <w:t>Rec(</w:t>
        </w:r>
        <w:proofErr w:type="gramEnd"/>
        <w:r w:rsidR="00AF3955" w:rsidRPr="00F80B1E">
          <w:rPr>
            <w:rStyle w:val="Hyperlink"/>
            <w:rFonts w:eastAsia="Times New Roman"/>
            <w:lang w:val="en-GB" w:eastAsia="en-GB"/>
          </w:rPr>
          <w:t>2018)1 of the Committee of Ministers to member States on media pluralism and transparency of media ownership</w:t>
        </w:r>
      </w:hyperlink>
    </w:p>
    <w:p w14:paraId="0C526263" w14:textId="77777777" w:rsidR="00AF3955" w:rsidRPr="00F80B1E" w:rsidRDefault="00AF3955" w:rsidP="00AF3955">
      <w:pPr>
        <w:rPr>
          <w:rFonts w:eastAsia="Times New Roman" w:cs="Times New Roman"/>
          <w:color w:val="44546A" w:themeColor="dark2"/>
          <w:lang w:val="en-GB" w:eastAsia="en-GB"/>
        </w:rPr>
      </w:pPr>
    </w:p>
    <w:bookmarkEnd w:id="46"/>
    <w:p w14:paraId="46218554" w14:textId="77777777" w:rsidR="00AD35C8" w:rsidRPr="00F80B1E" w:rsidRDefault="00AD35C8" w:rsidP="00AD35C8">
      <w:pPr>
        <w:rPr>
          <w:rFonts w:ascii="Arial" w:eastAsia="Times New Roman" w:hAnsi="Arial" w:cs="Arial"/>
          <w:b/>
          <w:bCs/>
          <w:kern w:val="36"/>
          <w:lang w:val="en-US" w:eastAsia="fr-FR"/>
        </w:rPr>
      </w:pPr>
      <w:r w:rsidRPr="00F80B1E">
        <w:rPr>
          <w:lang w:val="en-US"/>
        </w:rPr>
        <w:t>PACE</w:t>
      </w:r>
    </w:p>
    <w:p w14:paraId="0F04CE9F" w14:textId="77777777" w:rsidR="00AD35C8" w:rsidRPr="00F80B1E" w:rsidRDefault="00AD35C8" w:rsidP="00AD35C8">
      <w:pPr>
        <w:shd w:val="clear" w:color="auto" w:fill="FFFFFF"/>
        <w:jc w:val="both"/>
        <w:outlineLvl w:val="0"/>
        <w:rPr>
          <w:rFonts w:eastAsia="Times New Roman" w:cstheme="minorHAnsi"/>
          <w:kern w:val="36"/>
          <w:lang w:val="en-US" w:eastAsia="fr-FR"/>
        </w:rPr>
      </w:pPr>
      <w:r w:rsidRPr="00F80B1E">
        <w:rPr>
          <w:rFonts w:eastAsia="Times New Roman" w:cstheme="minorHAnsi"/>
          <w:kern w:val="36"/>
          <w:lang w:val="en-US" w:eastAsia="fr-FR"/>
        </w:rPr>
        <w:t>The impact of the Covid-19 pandemic on human rights and the rule of law</w:t>
      </w:r>
    </w:p>
    <w:p w14:paraId="46775AD7" w14:textId="77777777" w:rsidR="00AD35C8" w:rsidRPr="00F80B1E" w:rsidRDefault="00AD35C8" w:rsidP="00AD35C8">
      <w:pPr>
        <w:jc w:val="both"/>
        <w:rPr>
          <w:rFonts w:cstheme="minorHAnsi"/>
          <w:shd w:val="clear" w:color="auto" w:fill="FFFFFF"/>
        </w:rPr>
      </w:pPr>
      <w:r w:rsidRPr="00F80B1E">
        <w:rPr>
          <w:rFonts w:cstheme="minorHAnsi"/>
        </w:rPr>
        <w:t xml:space="preserve">(Rapporteur : </w:t>
      </w:r>
      <w:hyperlink r:id="rId90" w:history="1">
        <w:r w:rsidRPr="00F80B1E">
          <w:rPr>
            <w:rStyle w:val="Hyperlink"/>
            <w:rFonts w:cstheme="minorHAnsi"/>
            <w:shd w:val="clear" w:color="auto" w:fill="FFFFFF"/>
          </w:rPr>
          <w:t>Mr Vladimir VARDANYAN</w:t>
        </w:r>
      </w:hyperlink>
      <w:r w:rsidRPr="00F80B1E">
        <w:rPr>
          <w:rFonts w:cstheme="minorHAnsi"/>
          <w:shd w:val="clear" w:color="auto" w:fill="FFFFFF"/>
        </w:rPr>
        <w:t>, Armenia, EPP/CD)</w:t>
      </w:r>
    </w:p>
    <w:p w14:paraId="6BE4C2F8" w14:textId="77777777" w:rsidR="00AD35C8" w:rsidRDefault="003E00FF" w:rsidP="00AD35C8">
      <w:pPr>
        <w:jc w:val="both"/>
        <w:rPr>
          <w:rFonts w:cstheme="minorHAnsi"/>
          <w:lang w:val="en-US"/>
        </w:rPr>
      </w:pPr>
      <w:hyperlink r:id="rId91" w:history="1">
        <w:r w:rsidR="00AD35C8" w:rsidRPr="00F80B1E">
          <w:rPr>
            <w:rStyle w:val="Hyperlink"/>
            <w:rFonts w:cstheme="minorHAnsi"/>
            <w:shd w:val="clear" w:color="auto" w:fill="FFFFFF"/>
            <w:lang w:val="en-US"/>
          </w:rPr>
          <w:t>Doc. 15139 </w:t>
        </w:r>
      </w:hyperlink>
      <w:r w:rsidR="00AD35C8" w:rsidRPr="00F80B1E">
        <w:rPr>
          <w:rFonts w:cstheme="minorHAnsi"/>
          <w:color w:val="161616"/>
          <w:shd w:val="clear" w:color="auto" w:fill="FFFFFF"/>
          <w:lang w:val="en-US"/>
        </w:rPr>
        <w:t xml:space="preserve"> / </w:t>
      </w:r>
      <w:r w:rsidR="00AD35C8" w:rsidRPr="00F80B1E">
        <w:rPr>
          <w:rFonts w:cstheme="minorHAnsi"/>
          <w:lang w:val="en-GB"/>
        </w:rPr>
        <w:t xml:space="preserve">See also the </w:t>
      </w:r>
      <w:hyperlink r:id="rId92" w:history="1">
        <w:r w:rsidR="00AD35C8" w:rsidRPr="00F80B1E">
          <w:rPr>
            <w:rStyle w:val="Hyperlink"/>
            <w:rFonts w:cstheme="minorHAnsi"/>
            <w:color w:val="0563C1"/>
            <w:lang w:val="en-US"/>
          </w:rPr>
          <w:t>Opinion</w:t>
        </w:r>
      </w:hyperlink>
      <w:r w:rsidR="00AD35C8" w:rsidRPr="00F80B1E">
        <w:rPr>
          <w:rFonts w:cstheme="minorHAnsi"/>
          <w:lang w:val="en-US"/>
        </w:rPr>
        <w:t xml:space="preserve"> by the Committee on Culture, Science, Education and Media on the </w:t>
      </w:r>
      <w:proofErr w:type="gramStart"/>
      <w:r w:rsidR="00AD35C8" w:rsidRPr="00F80B1E">
        <w:rPr>
          <w:rFonts w:cstheme="minorHAnsi"/>
          <w:lang w:val="en-US"/>
        </w:rPr>
        <w:t>aforementioned report</w:t>
      </w:r>
      <w:proofErr w:type="gramEnd"/>
      <w:r w:rsidR="00AD35C8" w:rsidRPr="00F80B1E">
        <w:rPr>
          <w:rFonts w:cstheme="minorHAnsi"/>
          <w:lang w:val="en-US"/>
        </w:rPr>
        <w:t>.</w:t>
      </w:r>
    </w:p>
    <w:p w14:paraId="2E5FF023" w14:textId="77777777" w:rsidR="004A628B" w:rsidRPr="000C0F1F"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47" w:name="_Toc36635853"/>
      <w:r w:rsidRPr="00546B57">
        <w:rPr>
          <w:lang w:val="en-US"/>
        </w:rPr>
        <w:t>C. Framework for journalists' protection</w:t>
      </w:r>
      <w:bookmarkEnd w:id="47"/>
      <w:r w:rsidRPr="00546B57">
        <w:rPr>
          <w:lang w:val="en-US"/>
        </w:rPr>
        <w:t xml:space="preserve"> </w:t>
      </w:r>
    </w:p>
    <w:p w14:paraId="6B781BE6" w14:textId="29299CB1" w:rsidR="004A628B" w:rsidRPr="00546B57" w:rsidRDefault="004A628B" w:rsidP="004A628B">
      <w:pPr>
        <w:pStyle w:val="Heading3"/>
        <w:rPr>
          <w:lang w:val="en-US"/>
        </w:rPr>
      </w:pPr>
      <w:bookmarkStart w:id="48" w:name="_Toc36635854"/>
      <w:r w:rsidRPr="00546B57">
        <w:rPr>
          <w:lang w:val="en-US"/>
        </w:rPr>
        <w:t>33. Rules and practices guaranteeing journalist's independence and safety and protecting journalistic and other media activity from interference by state authorities</w:t>
      </w:r>
      <w:bookmarkEnd w:id="48"/>
      <w:r w:rsidRPr="00546B57">
        <w:rPr>
          <w:lang w:val="en-US"/>
        </w:rPr>
        <w:t xml:space="preserve"> </w:t>
      </w:r>
    </w:p>
    <w:p w14:paraId="79D324E3" w14:textId="020D582B" w:rsidR="004A628B" w:rsidRDefault="004A628B" w:rsidP="004A628B">
      <w:pPr>
        <w:pStyle w:val="Heading3"/>
        <w:rPr>
          <w:lang w:val="en-US"/>
        </w:rPr>
      </w:pPr>
      <w:bookmarkStart w:id="49" w:name="_Toc36635855"/>
      <w:r w:rsidRPr="00546B57">
        <w:rPr>
          <w:lang w:val="en-US"/>
        </w:rPr>
        <w:t>34. Law enforcement capacity to ensure journalists' safety and to investigate attacks on journalists</w:t>
      </w:r>
      <w:bookmarkEnd w:id="49"/>
      <w:r w:rsidRPr="00546B57">
        <w:rPr>
          <w:lang w:val="en-US"/>
        </w:rPr>
        <w:t xml:space="preserve"> </w:t>
      </w:r>
    </w:p>
    <w:p w14:paraId="5A9AFAE2" w14:textId="77777777" w:rsidR="00840B52" w:rsidRDefault="00840B52" w:rsidP="00840B52">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069783F3" w14:textId="77777777" w:rsidR="00840B52" w:rsidRDefault="003E00FF" w:rsidP="00840B52">
      <w:pPr>
        <w:rPr>
          <w:rFonts w:eastAsia="Times New Roman" w:cs="Times New Roman"/>
          <w:color w:val="44546A" w:themeColor="dark2"/>
          <w:lang w:val="en-GB" w:eastAsia="en-GB"/>
        </w:rPr>
      </w:pPr>
      <w:hyperlink r:id="rId93" w:anchor="_ftn1" w:history="1">
        <w:r w:rsidR="00840B52">
          <w:rPr>
            <w:rStyle w:val="Hyperlink"/>
            <w:rFonts w:eastAsia="Times New Roman"/>
            <w:lang w:val="en-GB" w:eastAsia="en-GB"/>
          </w:rPr>
          <w:t>Recommendation CM/</w:t>
        </w:r>
        <w:proofErr w:type="gramStart"/>
        <w:r w:rsidR="00840B52">
          <w:rPr>
            <w:rStyle w:val="Hyperlink"/>
            <w:rFonts w:eastAsia="Times New Roman"/>
            <w:lang w:val="en-GB" w:eastAsia="en-GB"/>
          </w:rPr>
          <w:t>Rec(</w:t>
        </w:r>
        <w:proofErr w:type="gramEnd"/>
        <w:r w:rsidR="00840B52">
          <w:rPr>
            <w:rStyle w:val="Hyperlink"/>
            <w:rFonts w:eastAsia="Times New Roman"/>
            <w:lang w:val="en-GB" w:eastAsia="en-GB"/>
          </w:rPr>
          <w:t>2016)4 of the Committee of Ministers to member States on the protection of journalism and safety of journalists and other media actors</w:t>
        </w:r>
      </w:hyperlink>
    </w:p>
    <w:p w14:paraId="54FC2770" w14:textId="77777777" w:rsidR="00840B52" w:rsidRPr="00840B52" w:rsidRDefault="00840B52" w:rsidP="00840B52">
      <w:pPr>
        <w:rPr>
          <w:lang w:val="en-GB"/>
        </w:rPr>
      </w:pPr>
    </w:p>
    <w:p w14:paraId="343B0CAE" w14:textId="4ED4FC22" w:rsidR="004A628B" w:rsidRDefault="004A628B" w:rsidP="004A628B">
      <w:pPr>
        <w:pStyle w:val="Heading3"/>
        <w:rPr>
          <w:lang w:val="en-US"/>
        </w:rPr>
      </w:pPr>
      <w:bookmarkStart w:id="50" w:name="_Toc36635856"/>
      <w:r w:rsidRPr="00546B57">
        <w:rPr>
          <w:lang w:val="en-US"/>
        </w:rPr>
        <w:t>35. Access to information and public documents</w:t>
      </w:r>
      <w:bookmarkEnd w:id="50"/>
      <w:r w:rsidRPr="00546B57">
        <w:rPr>
          <w:lang w:val="en-US"/>
        </w:rPr>
        <w:t xml:space="preserve"> </w:t>
      </w:r>
    </w:p>
    <w:p w14:paraId="26EE62EC" w14:textId="77777777" w:rsidR="006E74AE" w:rsidRPr="00D948B2" w:rsidRDefault="006E74AE" w:rsidP="006E74AE">
      <w:pPr>
        <w:rPr>
          <w:lang w:val="en-US"/>
        </w:rPr>
      </w:pPr>
      <w:r w:rsidRPr="00D948B2">
        <w:rPr>
          <w:lang w:val="en-GB"/>
        </w:rPr>
        <w:t>Office of the Commissioner for Human Rights</w:t>
      </w:r>
    </w:p>
    <w:p w14:paraId="2255B627" w14:textId="77777777" w:rsidR="006E74AE" w:rsidRDefault="003E00FF" w:rsidP="006E74AE">
      <w:pPr>
        <w:rPr>
          <w:iCs/>
          <w:lang w:val="en-GB"/>
        </w:rPr>
      </w:pPr>
      <w:hyperlink r:id="rId94" w:history="1">
        <w:r w:rsidR="006E74AE" w:rsidRPr="00D948B2">
          <w:rPr>
            <w:rStyle w:val="Hyperlink"/>
            <w:iCs/>
            <w:lang w:val="en-US"/>
          </w:rPr>
          <w:t>Access to official documents is crucial – let’s make it a reality - Human Rights Comments - Commissioner for Human Rights (coe.int)</w:t>
        </w:r>
      </w:hyperlink>
      <w:r w:rsidR="006E74AE" w:rsidRPr="00D948B2">
        <w:rPr>
          <w:iCs/>
          <w:lang w:val="en-GB"/>
        </w:rPr>
        <w:t xml:space="preserve"> – published on 1 December 2020</w:t>
      </w:r>
    </w:p>
    <w:p w14:paraId="5BD97C51" w14:textId="77777777" w:rsidR="006E74AE" w:rsidRPr="006E74AE" w:rsidRDefault="006E74AE" w:rsidP="006E74AE">
      <w:pPr>
        <w:rPr>
          <w:lang w:val="en-GB"/>
        </w:rPr>
      </w:pPr>
    </w:p>
    <w:p w14:paraId="58623E8F" w14:textId="0C1D40E6" w:rsidR="004A628B" w:rsidRDefault="004A628B" w:rsidP="004A628B">
      <w:pPr>
        <w:pStyle w:val="Heading3"/>
        <w:rPr>
          <w:lang w:val="en-US"/>
        </w:rPr>
      </w:pPr>
      <w:bookmarkStart w:id="51" w:name="_Toc36635857"/>
      <w:r w:rsidRPr="00546B57">
        <w:rPr>
          <w:lang w:val="en-US"/>
        </w:rPr>
        <w:t>36. Other - please specify</w:t>
      </w:r>
      <w:bookmarkEnd w:id="51"/>
      <w:r w:rsidRPr="00546B57">
        <w:rPr>
          <w:lang w:val="en-US"/>
        </w:rPr>
        <w:t xml:space="preserve"> </w:t>
      </w:r>
    </w:p>
    <w:p w14:paraId="594F8089" w14:textId="0BC15045" w:rsidR="008B51AE" w:rsidRDefault="008B51AE" w:rsidP="008B51AE">
      <w:pPr>
        <w:rPr>
          <w:lang w:val="en-US"/>
        </w:rPr>
      </w:pPr>
    </w:p>
    <w:p w14:paraId="2D028B66" w14:textId="77777777" w:rsidR="00D948B2" w:rsidRPr="00D948B2" w:rsidRDefault="00D948B2" w:rsidP="00D948B2">
      <w:pPr>
        <w:rPr>
          <w:highlight w:val="yellow"/>
          <w:lang w:val="en-US"/>
        </w:rPr>
      </w:pPr>
      <w:r w:rsidRPr="00D948B2">
        <w:rPr>
          <w:highlight w:val="yellow"/>
          <w:lang w:val="en-GB"/>
        </w:rPr>
        <w:t>Office of the Commissioner for Human Rights</w:t>
      </w:r>
    </w:p>
    <w:p w14:paraId="55AA8904" w14:textId="77777777" w:rsidR="00D948B2" w:rsidRPr="00A53132" w:rsidRDefault="003E00FF" w:rsidP="00D948B2">
      <w:pPr>
        <w:outlineLvl w:val="0"/>
        <w:rPr>
          <w:rFonts w:cs="Arial"/>
          <w:lang w:val="en-US"/>
        </w:rPr>
      </w:pPr>
      <w:hyperlink r:id="rId95" w:history="1">
        <w:r w:rsidR="00D948B2" w:rsidRPr="00D948B2">
          <w:rPr>
            <w:rStyle w:val="Hyperlink"/>
            <w:rFonts w:cs="Arial"/>
            <w:highlight w:val="yellow"/>
            <w:lang w:val="en-US"/>
          </w:rPr>
          <w:t>Letter</w:t>
        </w:r>
      </w:hyperlink>
      <w:r w:rsidR="00D948B2" w:rsidRPr="00D948B2">
        <w:rPr>
          <w:rFonts w:cs="Arial"/>
          <w:highlight w:val="yellow"/>
          <w:lang w:val="en-US"/>
        </w:rPr>
        <w:t xml:space="preserve"> from the Council of Europe Commissioner for Human Rights to </w:t>
      </w:r>
      <w:proofErr w:type="spellStart"/>
      <w:r w:rsidR="00D948B2" w:rsidRPr="00D948B2">
        <w:rPr>
          <w:rFonts w:cs="Arial"/>
          <w:highlight w:val="yellow"/>
          <w:lang w:val="en-US"/>
        </w:rPr>
        <w:t>Nicos</w:t>
      </w:r>
      <w:proofErr w:type="spellEnd"/>
      <w:r w:rsidR="00D948B2" w:rsidRPr="00D948B2">
        <w:rPr>
          <w:rFonts w:cs="Arial"/>
          <w:highlight w:val="yellow"/>
          <w:lang w:val="en-US"/>
        </w:rPr>
        <w:t xml:space="preserve"> </w:t>
      </w:r>
      <w:proofErr w:type="spellStart"/>
      <w:r w:rsidR="00D948B2" w:rsidRPr="00D948B2">
        <w:rPr>
          <w:rFonts w:cs="Arial"/>
          <w:highlight w:val="yellow"/>
          <w:lang w:val="en-US"/>
        </w:rPr>
        <w:t>Nouris</w:t>
      </w:r>
      <w:proofErr w:type="spellEnd"/>
      <w:r w:rsidR="00D948B2" w:rsidRPr="00D948B2">
        <w:rPr>
          <w:rFonts w:cs="Arial"/>
          <w:highlight w:val="yellow"/>
          <w:lang w:val="en-US"/>
        </w:rPr>
        <w:t xml:space="preserve">, Minister of Interior of Cyprus, on investigating allegations of pushbacks and ill-treatment of migrants, improving reception conditions, and </w:t>
      </w:r>
      <w:r w:rsidR="00D948B2" w:rsidRPr="00D948B2">
        <w:rPr>
          <w:rFonts w:cs="Arial"/>
          <w:highlight w:val="yellow"/>
          <w:u w:val="single"/>
          <w:lang w:val="en-US"/>
        </w:rPr>
        <w:t>ensuring an enabling environment for NGOs</w:t>
      </w:r>
      <w:r w:rsidR="00D948B2" w:rsidRPr="00D948B2">
        <w:rPr>
          <w:rFonts w:cs="Arial"/>
          <w:highlight w:val="yellow"/>
          <w:lang w:val="en-US"/>
        </w:rPr>
        <w:t xml:space="preserve"> (dated 10 March 2021 and published on 18 March 2021).</w:t>
      </w:r>
    </w:p>
    <w:p w14:paraId="12312782" w14:textId="02C561CC" w:rsidR="00D948B2" w:rsidRDefault="00D948B2" w:rsidP="008B51AE">
      <w:pPr>
        <w:rPr>
          <w:lang w:val="en-US"/>
        </w:rPr>
      </w:pPr>
    </w:p>
    <w:p w14:paraId="57A9E4FA" w14:textId="77777777" w:rsidR="002A3826" w:rsidRDefault="002A3826" w:rsidP="002A3826">
      <w:pPr>
        <w:rPr>
          <w:highlight w:val="yellow"/>
          <w:lang w:val="en-US"/>
        </w:rPr>
      </w:pPr>
      <w:r>
        <w:rPr>
          <w:highlight w:val="yellow"/>
          <w:lang w:val="en-GB"/>
        </w:rPr>
        <w:t>Office of the Commissioner for Human Rights</w:t>
      </w:r>
    </w:p>
    <w:p w14:paraId="2BC2373E" w14:textId="77777777" w:rsidR="002A3826" w:rsidRDefault="002A3826" w:rsidP="002A3826">
      <w:pPr>
        <w:outlineLvl w:val="0"/>
        <w:rPr>
          <w:iCs/>
          <w:lang w:val="en-GB"/>
        </w:rPr>
      </w:pPr>
      <w:r>
        <w:rPr>
          <w:iCs/>
          <w:highlight w:val="yellow"/>
          <w:lang w:val="en-GB"/>
        </w:rPr>
        <w:t xml:space="preserve">Journalists covering public assemblies need to be protected </w:t>
      </w:r>
      <w:hyperlink r:id="rId96"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54CE18FE" w14:textId="77777777" w:rsidR="002A3826" w:rsidRDefault="002A3826" w:rsidP="002A3826">
      <w:pPr>
        <w:outlineLvl w:val="0"/>
        <w:rPr>
          <w:iCs/>
          <w:lang w:val="en-GB"/>
        </w:rPr>
      </w:pPr>
    </w:p>
    <w:p w14:paraId="01A1AF74" w14:textId="77777777" w:rsidR="002A3826" w:rsidRDefault="002A3826" w:rsidP="002A3826">
      <w:pPr>
        <w:rPr>
          <w:highlight w:val="yellow"/>
          <w:lang w:val="en-US"/>
        </w:rPr>
      </w:pPr>
      <w:r>
        <w:rPr>
          <w:highlight w:val="yellow"/>
          <w:lang w:val="en-GB"/>
        </w:rPr>
        <w:t>Office of the Commissioner for Human Rights</w:t>
      </w:r>
    </w:p>
    <w:p w14:paraId="32D4AD30" w14:textId="77777777" w:rsidR="002A3826" w:rsidRDefault="002A3826" w:rsidP="002A3826">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97"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9459218" w14:textId="77777777" w:rsidR="00D948B2" w:rsidRPr="002A3826" w:rsidRDefault="00D948B2" w:rsidP="008B51AE">
      <w:pPr>
        <w:rPr>
          <w:lang w:val="en-GB"/>
        </w:rPr>
      </w:pPr>
    </w:p>
    <w:p w14:paraId="6A7E7CF3" w14:textId="77777777" w:rsidR="008B51AE" w:rsidRPr="00F80B1E" w:rsidRDefault="008B51AE" w:rsidP="008B51AE">
      <w:pPr>
        <w:rPr>
          <w:lang w:val="en-US"/>
        </w:rPr>
      </w:pPr>
      <w:r w:rsidRPr="00F80B1E">
        <w:rPr>
          <w:lang w:val="en-GB"/>
        </w:rPr>
        <w:t>Office of the Commissioner for Human Rights</w:t>
      </w:r>
    </w:p>
    <w:p w14:paraId="118C5B22" w14:textId="77777777" w:rsidR="008B51AE" w:rsidRPr="003C423D" w:rsidRDefault="008B51AE" w:rsidP="008B51AE">
      <w:pPr>
        <w:outlineLvl w:val="0"/>
        <w:rPr>
          <w:iCs/>
          <w:lang w:val="en-GB"/>
        </w:rPr>
      </w:pPr>
      <w:r w:rsidRPr="00F80B1E">
        <w:rPr>
          <w:iCs/>
          <w:lang w:val="en-GB"/>
        </w:rPr>
        <w:t xml:space="preserve">Tapping the full potential of Equality Bodies for a fairer Europe </w:t>
      </w:r>
      <w:hyperlink r:id="rId98" w:history="1">
        <w:r w:rsidRPr="00F80B1E">
          <w:rPr>
            <w:rStyle w:val="Hyperlink"/>
            <w:iCs/>
            <w:lang w:val="en-US"/>
          </w:rPr>
          <w:t>Tapping the full potential of Equality Bodies for a fairer Europe - Human Rights Comments - Commissioner for Human Rights (coe.int)</w:t>
        </w:r>
      </w:hyperlink>
      <w:r w:rsidRPr="00F80B1E">
        <w:rPr>
          <w:iCs/>
          <w:lang w:val="en-GB"/>
        </w:rPr>
        <w:t xml:space="preserve"> – published on 26 June 2020</w:t>
      </w:r>
      <w:r w:rsidRPr="003C423D">
        <w:rPr>
          <w:iCs/>
          <w:lang w:val="en-GB"/>
        </w:rPr>
        <w:t xml:space="preserve"> </w:t>
      </w:r>
    </w:p>
    <w:p w14:paraId="3B1D34C7" w14:textId="77777777" w:rsidR="008B51AE" w:rsidRPr="008B51AE" w:rsidRDefault="008B51AE" w:rsidP="008B51AE">
      <w:pPr>
        <w:rPr>
          <w:lang w:val="en-GB"/>
        </w:rPr>
      </w:pPr>
    </w:p>
    <w:p w14:paraId="27CE824C" w14:textId="77777777" w:rsidR="000C0F1F" w:rsidRDefault="000C0F1F" w:rsidP="000C0F1F">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4793C67F" w:rsidR="004A628B" w:rsidRDefault="003E00FF" w:rsidP="004A628B">
      <w:pPr>
        <w:pStyle w:val="Default"/>
        <w:rPr>
          <w:color w:val="auto"/>
          <w:sz w:val="22"/>
          <w:szCs w:val="22"/>
          <w:lang w:val="en-US"/>
        </w:rPr>
      </w:pPr>
      <w:hyperlink r:id="rId99" w:history="1">
        <w:r w:rsidR="000C0F1F" w:rsidRPr="004F60B3">
          <w:rPr>
            <w:rStyle w:val="Hyperlink"/>
            <w:sz w:val="22"/>
            <w:szCs w:val="22"/>
            <w:lang w:val="en-US"/>
          </w:rPr>
          <w:t>https://www.coe.int/en/web/media-freedom/cyprus</w:t>
        </w:r>
      </w:hyperlink>
    </w:p>
    <w:p w14:paraId="6C8C475E" w14:textId="77777777" w:rsidR="006A3C64" w:rsidRDefault="006A3C64">
      <w:pPr>
        <w:rPr>
          <w:sz w:val="22"/>
          <w:szCs w:val="22"/>
          <w:lang w:val="en-US"/>
        </w:rPr>
      </w:pPr>
    </w:p>
    <w:p w14:paraId="396E51ED" w14:textId="77777777" w:rsidR="006A3C64" w:rsidRDefault="006A3C64">
      <w:pPr>
        <w:rPr>
          <w:sz w:val="22"/>
          <w:szCs w:val="22"/>
          <w:lang w:val="en-US"/>
        </w:rPr>
      </w:pPr>
    </w:p>
    <w:p w14:paraId="5849D4C0" w14:textId="77777777" w:rsidR="006A3C64" w:rsidRPr="008A3575" w:rsidRDefault="006A3C64" w:rsidP="006A3C64">
      <w:pPr>
        <w:rPr>
          <w:rFonts w:asciiTheme="majorHAnsi" w:hAnsiTheme="majorHAnsi" w:cstheme="majorHAnsi"/>
          <w:color w:val="000000" w:themeColor="text1"/>
          <w:lang w:val="en-US"/>
        </w:rPr>
      </w:pPr>
      <w:bookmarkStart w:id="52" w:name="_Hlk38545859"/>
      <w:r w:rsidRPr="008A3575">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2373B9EB" w14:textId="77777777" w:rsidR="006A3C64" w:rsidRDefault="006A3C64" w:rsidP="006A3C64">
      <w:pPr>
        <w:pStyle w:val="Default"/>
        <w:rPr>
          <w:color w:val="auto"/>
          <w:sz w:val="22"/>
          <w:szCs w:val="22"/>
          <w:lang w:val="en-US"/>
        </w:rPr>
      </w:pPr>
    </w:p>
    <w:p w14:paraId="29B042FD" w14:textId="77777777" w:rsidR="006A3C64" w:rsidRPr="008A3575" w:rsidRDefault="006A3C64" w:rsidP="006A3C64">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2018</w:t>
      </w:r>
    </w:p>
    <w:p w14:paraId="6A06BCD9" w14:textId="77777777" w:rsidR="006A3C64" w:rsidRPr="008A3575" w:rsidRDefault="003E00FF" w:rsidP="006A3C64">
      <w:pPr>
        <w:rPr>
          <w:rFonts w:eastAsia="Times New Roman" w:cs="Times New Roman"/>
          <w:color w:val="44546A" w:themeColor="dark2"/>
          <w:lang w:val="en-US" w:eastAsia="en-GB"/>
        </w:rPr>
      </w:pPr>
      <w:hyperlink r:id="rId100" w:history="1">
        <w:r w:rsidR="006A3C64" w:rsidRPr="004F60B3">
          <w:rPr>
            <w:rStyle w:val="Hyperlink"/>
            <w:rFonts w:eastAsia="Times New Roman"/>
            <w:lang w:val="en-US" w:eastAsia="en-GB"/>
          </w:rPr>
          <w:t>https://rm.coe.int/state-of-democracy-human-rights-and-the-rule-of-law-role-of-institutio/168086c0c5</w:t>
        </w:r>
      </w:hyperlink>
    </w:p>
    <w:p w14:paraId="1F87C1FA" w14:textId="77777777" w:rsidR="006A3C64" w:rsidRPr="008A3575" w:rsidRDefault="006A3C64" w:rsidP="006A3C64">
      <w:pPr>
        <w:rPr>
          <w:rFonts w:eastAsia="Times New Roman" w:cs="Times New Roman"/>
          <w:color w:val="44546A" w:themeColor="dark2"/>
          <w:lang w:val="en-US" w:eastAsia="en-GB"/>
        </w:rPr>
      </w:pPr>
    </w:p>
    <w:p w14:paraId="362951F0" w14:textId="77777777" w:rsidR="006A3C64" w:rsidRPr="008A3575" w:rsidRDefault="006A3C64" w:rsidP="006A3C64">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2017</w:t>
      </w:r>
    </w:p>
    <w:p w14:paraId="6A392DEA" w14:textId="77777777" w:rsidR="006A3C64" w:rsidRPr="008A3575" w:rsidRDefault="003E00FF" w:rsidP="006A3C64">
      <w:pPr>
        <w:rPr>
          <w:rFonts w:eastAsia="Times New Roman" w:cs="Times New Roman"/>
          <w:color w:val="0563C1"/>
          <w:u w:val="single"/>
          <w:lang w:val="en-US" w:eastAsia="en-GB"/>
        </w:rPr>
      </w:pPr>
      <w:hyperlink r:id="rId101" w:history="1">
        <w:r w:rsidR="006A3C64" w:rsidRPr="004F60B3">
          <w:rPr>
            <w:rStyle w:val="Hyperlink"/>
            <w:rFonts w:eastAsia="Times New Roman"/>
            <w:lang w:val="en-US" w:eastAsia="en-GB"/>
          </w:rPr>
          <w:t>https://edoc.coe.int/en/an-overview/7345-pdf-state-of-democracy-human-rights-and-the-rule-of-law.html</w:t>
        </w:r>
      </w:hyperlink>
    </w:p>
    <w:p w14:paraId="2EA36005" w14:textId="77777777" w:rsidR="006A3C64" w:rsidRPr="008A3575" w:rsidRDefault="006A3C64" w:rsidP="006A3C64">
      <w:pPr>
        <w:rPr>
          <w:rFonts w:eastAsia="Times New Roman" w:cs="Times New Roman"/>
          <w:color w:val="44546A" w:themeColor="dark2"/>
          <w:lang w:val="en-US" w:eastAsia="en-GB"/>
        </w:rPr>
      </w:pPr>
    </w:p>
    <w:p w14:paraId="4CA77CE0" w14:textId="77777777" w:rsidR="006A3C64" w:rsidRPr="006A3C64" w:rsidRDefault="006A3C64" w:rsidP="006A3C64">
      <w:pPr>
        <w:rPr>
          <w:rFonts w:asciiTheme="majorHAnsi" w:hAnsiTheme="majorHAnsi" w:cstheme="majorHAnsi"/>
          <w:color w:val="000000" w:themeColor="text1"/>
          <w:lang w:val="en-US"/>
        </w:rPr>
      </w:pPr>
      <w:r w:rsidRPr="006A3C64">
        <w:rPr>
          <w:rFonts w:asciiTheme="majorHAnsi" w:hAnsiTheme="majorHAnsi" w:cstheme="majorHAnsi"/>
          <w:color w:val="000000" w:themeColor="text1"/>
          <w:lang w:val="en-US"/>
        </w:rPr>
        <w:t>2016</w:t>
      </w:r>
    </w:p>
    <w:p w14:paraId="506E8E24" w14:textId="77777777" w:rsidR="006A3C64" w:rsidRPr="006A3C64" w:rsidRDefault="003E00FF" w:rsidP="006A3C64">
      <w:pPr>
        <w:rPr>
          <w:rFonts w:eastAsia="Times New Roman" w:cs="Times New Roman"/>
          <w:color w:val="44546A" w:themeColor="dark2"/>
          <w:lang w:val="en-US" w:eastAsia="en-GB"/>
        </w:rPr>
      </w:pPr>
      <w:hyperlink r:id="rId102" w:history="1">
        <w:r w:rsidR="006A3C64" w:rsidRPr="006A3C64">
          <w:rPr>
            <w:rStyle w:val="Hyperlink"/>
            <w:rFonts w:eastAsia="Times New Roman"/>
            <w:lang w:val="en-US" w:eastAsia="en-GB"/>
          </w:rPr>
          <w:t>https://search.coe.int/cm/Pages/result_details.aspx?ObjectId=0900001680646af8</w:t>
        </w:r>
      </w:hyperlink>
    </w:p>
    <w:p w14:paraId="3C4FE314" w14:textId="77777777" w:rsidR="006A3C64" w:rsidRPr="006A3C64" w:rsidRDefault="006A3C64" w:rsidP="006A3C64">
      <w:pPr>
        <w:rPr>
          <w:rFonts w:eastAsia="Times New Roman" w:cs="Times New Roman"/>
          <w:color w:val="44546A" w:themeColor="dark2"/>
          <w:lang w:val="en-US" w:eastAsia="en-GB"/>
        </w:rPr>
      </w:pPr>
    </w:p>
    <w:p w14:paraId="5FC75499" w14:textId="77777777" w:rsidR="006A3C64" w:rsidRPr="006A3C64" w:rsidRDefault="006A3C64" w:rsidP="006A3C64">
      <w:pPr>
        <w:rPr>
          <w:rFonts w:asciiTheme="majorHAnsi" w:hAnsiTheme="majorHAnsi" w:cstheme="majorHAnsi"/>
          <w:color w:val="000000" w:themeColor="text1"/>
          <w:lang w:val="en-US"/>
        </w:rPr>
      </w:pPr>
      <w:r w:rsidRPr="006A3C64">
        <w:rPr>
          <w:rFonts w:asciiTheme="majorHAnsi" w:hAnsiTheme="majorHAnsi" w:cstheme="majorHAnsi"/>
          <w:color w:val="000000" w:themeColor="text1"/>
          <w:lang w:val="en-US"/>
        </w:rPr>
        <w:t>2015</w:t>
      </w:r>
    </w:p>
    <w:p w14:paraId="7D0565B8" w14:textId="77777777" w:rsidR="006A3C64" w:rsidRPr="006A3C64" w:rsidRDefault="003E00FF" w:rsidP="006A3C64">
      <w:pPr>
        <w:rPr>
          <w:rFonts w:eastAsia="Times New Roman" w:cs="Times New Roman"/>
          <w:color w:val="44546A" w:themeColor="dark2"/>
          <w:lang w:val="en-US" w:eastAsia="en-GB"/>
        </w:rPr>
      </w:pPr>
      <w:hyperlink r:id="rId103" w:history="1">
        <w:r w:rsidR="006A3C64" w:rsidRPr="006A3C64">
          <w:rPr>
            <w:rStyle w:val="Hyperlink"/>
            <w:rFonts w:eastAsia="Times New Roman" w:cs="Times New Roman"/>
            <w:lang w:val="en-US" w:eastAsia="en-GB"/>
          </w:rPr>
          <w:t>https://search.coe.int/cm/Pages/result_details.aspx?ObjectID=090000168058e01e</w:t>
        </w:r>
      </w:hyperlink>
    </w:p>
    <w:bookmarkEnd w:id="52"/>
    <w:p w14:paraId="6A0FF36A" w14:textId="5C9ACB18" w:rsidR="000C0F1F" w:rsidRDefault="000C0F1F">
      <w:pPr>
        <w:rPr>
          <w:rFonts w:ascii="Calibri" w:eastAsiaTheme="minorHAnsi" w:hAnsi="Calibri" w:cs="Calibri"/>
          <w:sz w:val="22"/>
          <w:szCs w:val="22"/>
          <w:lang w:val="en-US"/>
        </w:rPr>
      </w:pPr>
      <w:r>
        <w:rPr>
          <w:sz w:val="22"/>
          <w:szCs w:val="22"/>
          <w:lang w:val="en-US"/>
        </w:rPr>
        <w:br w:type="page"/>
      </w:r>
    </w:p>
    <w:p w14:paraId="391F0773" w14:textId="77777777" w:rsidR="000C0F1F" w:rsidRPr="00546B57" w:rsidRDefault="000C0F1F"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3"/>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4" w:name="_Toc36635859"/>
      <w:r w:rsidRPr="00546B57">
        <w:rPr>
          <w:lang w:val="en-US"/>
        </w:rPr>
        <w:t>A. The process for preparing and enacting laws</w:t>
      </w:r>
      <w:bookmarkEnd w:id="54"/>
      <w:r w:rsidRPr="00546B57">
        <w:rPr>
          <w:lang w:val="en-US"/>
        </w:rPr>
        <w:t xml:space="preserve"> </w:t>
      </w:r>
    </w:p>
    <w:p w14:paraId="39E88B24" w14:textId="108123B3" w:rsidR="004A628B" w:rsidRDefault="004A628B" w:rsidP="004A628B">
      <w:pPr>
        <w:pStyle w:val="Heading3"/>
        <w:rPr>
          <w:lang w:val="en-US"/>
        </w:rPr>
      </w:pPr>
      <w:bookmarkStart w:id="55"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5"/>
      <w:r w:rsidRPr="00546B57">
        <w:rPr>
          <w:lang w:val="en-US"/>
        </w:rPr>
        <w:t xml:space="preserve"> </w:t>
      </w:r>
    </w:p>
    <w:p w14:paraId="454349CB" w14:textId="4172BA53" w:rsidR="00263FD9" w:rsidRDefault="00263FD9" w:rsidP="00263FD9">
      <w:pPr>
        <w:rPr>
          <w:lang w:val="en-US"/>
        </w:rPr>
      </w:pPr>
    </w:p>
    <w:p w14:paraId="4D9A97FA" w14:textId="77777777" w:rsidR="00AA7781" w:rsidRDefault="00AA7781" w:rsidP="00AA7781">
      <w:pPr>
        <w:rPr>
          <w:highlight w:val="yellow"/>
          <w:lang w:val="en-US"/>
        </w:rPr>
      </w:pPr>
      <w:r>
        <w:rPr>
          <w:highlight w:val="yellow"/>
          <w:lang w:val="en-US"/>
        </w:rPr>
        <w:t>The European Commission for Democracy through Law – Venice Commission</w:t>
      </w:r>
    </w:p>
    <w:p w14:paraId="2AACF32D" w14:textId="77777777" w:rsidR="00263FD9" w:rsidRPr="00976132" w:rsidRDefault="00263FD9" w:rsidP="00263FD9">
      <w:pPr>
        <w:rPr>
          <w:rStyle w:val="Hyperlink"/>
          <w:lang w:val="en-US" w:eastAsia="fr-FR"/>
        </w:rPr>
      </w:pPr>
      <w:r w:rsidRPr="000D4782">
        <w:rPr>
          <w:highlight w:val="yellow"/>
          <w:lang w:val="en-GB"/>
        </w:rPr>
        <w:t xml:space="preserve">CDL-AD(2021)043 </w:t>
      </w:r>
      <w:hyperlink r:id="rId104" w:history="1">
        <w:r w:rsidRPr="000D4782">
          <w:rPr>
            <w:rStyle w:val="Hyperlink"/>
            <w:highlight w:val="yellow"/>
            <w:lang w:val="en-US" w:eastAsia="fr-FR"/>
          </w:rPr>
          <w:t>Cyprus - Opinion on three Bills reforming the Judiciary, adopted by the Venice Commission at its 129th Plenary session (10-11 December 2021, Venice and online)</w:t>
        </w:r>
      </w:hyperlink>
      <w:r w:rsidRPr="00976132">
        <w:rPr>
          <w:rStyle w:val="Hyperlink"/>
          <w:lang w:val="en-US" w:eastAsia="fr-FR"/>
        </w:rPr>
        <w:t> </w:t>
      </w:r>
    </w:p>
    <w:p w14:paraId="6962EA3A" w14:textId="77777777" w:rsidR="00263FD9" w:rsidRPr="00263FD9" w:rsidRDefault="00263FD9" w:rsidP="00263FD9">
      <w:pPr>
        <w:rPr>
          <w:lang w:val="en-US"/>
        </w:rPr>
      </w:pPr>
    </w:p>
    <w:p w14:paraId="292EA4E5" w14:textId="2D9158E2" w:rsidR="004A628B" w:rsidRPr="00546B57" w:rsidRDefault="004A628B" w:rsidP="004A628B">
      <w:pPr>
        <w:pStyle w:val="Heading3"/>
        <w:rPr>
          <w:lang w:val="en-US"/>
        </w:rPr>
      </w:pPr>
      <w:bookmarkStart w:id="56" w:name="_Toc36635861"/>
      <w:r w:rsidRPr="00546B57">
        <w:rPr>
          <w:lang w:val="en-US"/>
        </w:rPr>
        <w:t>38. Regime for constitutional review of laws</w:t>
      </w:r>
      <w:bookmarkEnd w:id="56"/>
      <w:r w:rsidRPr="00546B57">
        <w:rPr>
          <w:lang w:val="en-US"/>
        </w:rPr>
        <w:t xml:space="preserve"> </w:t>
      </w:r>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57" w:name="_Toc36635862"/>
      <w:r w:rsidRPr="004A628B">
        <w:rPr>
          <w:lang w:val="en-US"/>
        </w:rPr>
        <w:t>B. Independent authorities</w:t>
      </w:r>
      <w:bookmarkEnd w:id="57"/>
      <w:r w:rsidRPr="004A628B">
        <w:rPr>
          <w:lang w:val="en-US"/>
        </w:rPr>
        <w:t xml:space="preserve"> </w:t>
      </w:r>
    </w:p>
    <w:p w14:paraId="6796E58A" w14:textId="3ADFB640" w:rsidR="004A628B" w:rsidRPr="00546B57" w:rsidRDefault="004A628B" w:rsidP="004A628B">
      <w:pPr>
        <w:pStyle w:val="Heading3"/>
        <w:rPr>
          <w:lang w:val="en-US"/>
        </w:rPr>
      </w:pPr>
      <w:bookmarkStart w:id="58" w:name="_Toc36635863"/>
      <w:r w:rsidRPr="00546B57">
        <w:rPr>
          <w:lang w:val="en-US"/>
        </w:rPr>
        <w:t>39. independence, capacity and powers of national human rights institutions, ombudsman institutions and equality bodies</w:t>
      </w:r>
      <w:bookmarkEnd w:id="58"/>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59" w:name="_Toc36635864"/>
      <w:r w:rsidRPr="00546B57">
        <w:rPr>
          <w:lang w:val="en-US"/>
        </w:rPr>
        <w:t>C. Accessibility and judicial review of administrative decisions</w:t>
      </w:r>
      <w:bookmarkEnd w:id="59"/>
      <w:r w:rsidRPr="00546B57">
        <w:rPr>
          <w:lang w:val="en-US"/>
        </w:rPr>
        <w:t xml:space="preserve"> </w:t>
      </w:r>
    </w:p>
    <w:p w14:paraId="090320D0" w14:textId="2AD3A1EA" w:rsidR="004A628B" w:rsidRPr="00546B57" w:rsidRDefault="004A628B" w:rsidP="004A628B">
      <w:pPr>
        <w:pStyle w:val="Heading3"/>
        <w:rPr>
          <w:lang w:val="en-US"/>
        </w:rPr>
      </w:pPr>
      <w:bookmarkStart w:id="60" w:name="_Toc36635865"/>
      <w:r w:rsidRPr="00546B57">
        <w:rPr>
          <w:lang w:val="en-US"/>
        </w:rPr>
        <w:t>40. modalities of publication of administrative decisions and scope of judicial review</w:t>
      </w:r>
      <w:bookmarkEnd w:id="60"/>
      <w:r w:rsidRPr="00546B57">
        <w:rPr>
          <w:lang w:val="en-US"/>
        </w:rPr>
        <w:t xml:space="preserve"> </w:t>
      </w:r>
    </w:p>
    <w:p w14:paraId="580E81BC" w14:textId="069F67EE" w:rsidR="004A628B" w:rsidRPr="00546B57" w:rsidRDefault="004A628B" w:rsidP="004A628B">
      <w:pPr>
        <w:pStyle w:val="Heading3"/>
        <w:rPr>
          <w:lang w:val="en-US"/>
        </w:rPr>
      </w:pPr>
      <w:bookmarkStart w:id="61" w:name="_Toc36635866"/>
      <w:r w:rsidRPr="00546B57">
        <w:rPr>
          <w:lang w:val="en-US"/>
        </w:rPr>
        <w:t>41. implementation by the public administration and State institutions of final court decisions</w:t>
      </w:r>
      <w:bookmarkEnd w:id="61"/>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2" w:name="_Toc36635867"/>
      <w:r w:rsidRPr="00546B57">
        <w:rPr>
          <w:lang w:val="en-US"/>
        </w:rPr>
        <w:t>D. The enabling framework for civil society</w:t>
      </w:r>
      <w:bookmarkEnd w:id="62"/>
      <w:r w:rsidRPr="00546B57">
        <w:rPr>
          <w:lang w:val="en-US"/>
        </w:rPr>
        <w:t xml:space="preserve"> </w:t>
      </w:r>
    </w:p>
    <w:p w14:paraId="05AECE19" w14:textId="3DB90E04" w:rsidR="004A628B" w:rsidRPr="00546B57" w:rsidRDefault="004A628B" w:rsidP="004A628B">
      <w:pPr>
        <w:pStyle w:val="Heading3"/>
        <w:rPr>
          <w:lang w:val="en-US"/>
        </w:rPr>
      </w:pPr>
      <w:bookmarkStart w:id="63" w:name="_Toc36635868"/>
      <w:r w:rsidRPr="00546B57">
        <w:rPr>
          <w:lang w:val="en-US"/>
        </w:rPr>
        <w:t xml:space="preserve">42. Measures regarding the framework for civil society </w:t>
      </w:r>
      <w:proofErr w:type="spellStart"/>
      <w:r w:rsidRPr="00546B57">
        <w:rPr>
          <w:lang w:val="en-US"/>
        </w:rPr>
        <w:t>organisations</w:t>
      </w:r>
      <w:bookmarkEnd w:id="63"/>
      <w:proofErr w:type="spellEnd"/>
      <w:r w:rsidRPr="00546B57">
        <w:rPr>
          <w:lang w:val="en-US"/>
        </w:rPr>
        <w:t xml:space="preserve"> </w:t>
      </w:r>
    </w:p>
    <w:p w14:paraId="1E255526" w14:textId="1A14357A" w:rsidR="004A628B" w:rsidRDefault="004A628B" w:rsidP="004A628B">
      <w:pPr>
        <w:pStyle w:val="Heading3"/>
        <w:rPr>
          <w:lang w:val="en-US"/>
        </w:rPr>
      </w:pPr>
      <w:bookmarkStart w:id="64" w:name="_Toc36635869"/>
      <w:r w:rsidRPr="00BD08D3">
        <w:rPr>
          <w:lang w:val="en-US"/>
        </w:rPr>
        <w:t>43. Other - please specify</w:t>
      </w:r>
      <w:bookmarkEnd w:id="64"/>
      <w:r w:rsidRPr="00BD08D3">
        <w:rPr>
          <w:lang w:val="en-US"/>
        </w:rPr>
        <w:t xml:space="preserve"> </w:t>
      </w:r>
    </w:p>
    <w:p w14:paraId="145449B0" w14:textId="009B998B" w:rsidR="0054659B" w:rsidRDefault="0054659B" w:rsidP="0054659B">
      <w:pPr>
        <w:rPr>
          <w:lang w:val="en-US"/>
        </w:rPr>
      </w:pPr>
    </w:p>
    <w:p w14:paraId="5E261D71" w14:textId="77777777" w:rsidR="0054659B" w:rsidRDefault="0054659B" w:rsidP="0054659B">
      <w:pPr>
        <w:rPr>
          <w:highlight w:val="yellow"/>
          <w:lang w:val="en-US"/>
        </w:rPr>
      </w:pPr>
      <w:r>
        <w:rPr>
          <w:highlight w:val="yellow"/>
          <w:lang w:val="en-GB"/>
        </w:rPr>
        <w:t>Office of the Commissioner for Human Rights</w:t>
      </w:r>
    </w:p>
    <w:p w14:paraId="77447062" w14:textId="77777777" w:rsidR="0054659B" w:rsidRDefault="0054659B" w:rsidP="0054659B">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5"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C5E0A3D" w14:textId="77777777" w:rsidR="0054659B" w:rsidRPr="0054659B" w:rsidRDefault="0054659B" w:rsidP="0054659B">
      <w:pPr>
        <w:rPr>
          <w:lang w:val="en-GB"/>
        </w:rPr>
      </w:pPr>
    </w:p>
    <w:p w14:paraId="11367EBF" w14:textId="77777777" w:rsidR="000A55C4" w:rsidRDefault="000A55C4" w:rsidP="000A55C4">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72A926A6" w14:textId="77777777" w:rsidR="000A55C4" w:rsidRDefault="000A55C4" w:rsidP="000A55C4">
      <w:pPr>
        <w:rPr>
          <w:rFonts w:ascii="Tahoma" w:hAnsi="Tahoma" w:cs="Tahoma"/>
          <w:color w:val="000000"/>
          <w:highlight w:val="yellow"/>
          <w:lang w:val="en-GB"/>
        </w:rPr>
      </w:pPr>
    </w:p>
    <w:p w14:paraId="5E3C9029" w14:textId="77777777" w:rsidR="000A55C4" w:rsidRDefault="003E00FF" w:rsidP="000A55C4">
      <w:pPr>
        <w:rPr>
          <w:rFonts w:asciiTheme="majorHAnsi" w:hAnsiTheme="majorHAnsi" w:cstheme="majorHAnsi"/>
          <w:color w:val="000000"/>
          <w:lang w:val="en-GB"/>
        </w:rPr>
      </w:pPr>
      <w:hyperlink r:id="rId106" w:tgtFrame="_blank" w:history="1">
        <w:r w:rsidR="000A55C4">
          <w:rPr>
            <w:rStyle w:val="Hyperlink"/>
            <w:rFonts w:asciiTheme="majorHAnsi" w:hAnsiTheme="majorHAnsi" w:cstheme="majorHAnsi"/>
            <w:lang w:val="en-GB"/>
          </w:rPr>
          <w:t>https://rm.coe.int/expert-council-conf-exp-2020-1-ngos-developments-in-standards-mechanis/16809ccd3a</w:t>
        </w:r>
      </w:hyperlink>
    </w:p>
    <w:p w14:paraId="5473576D" w14:textId="77777777" w:rsidR="000A55C4" w:rsidRDefault="000A55C4" w:rsidP="000A55C4">
      <w:pPr>
        <w:rPr>
          <w:rFonts w:asciiTheme="majorHAnsi" w:hAnsiTheme="majorHAnsi" w:cstheme="majorHAnsi"/>
          <w:color w:val="000000"/>
          <w:lang w:val="en-GB"/>
        </w:rPr>
      </w:pPr>
    </w:p>
    <w:p w14:paraId="67EDC4F7" w14:textId="77777777" w:rsidR="000A55C4" w:rsidRDefault="003E00FF" w:rsidP="000A55C4">
      <w:pPr>
        <w:rPr>
          <w:rFonts w:asciiTheme="majorHAnsi" w:hAnsiTheme="majorHAnsi" w:cstheme="majorHAnsi"/>
          <w:color w:val="000000"/>
          <w:lang w:val="en-GB"/>
        </w:rPr>
      </w:pPr>
      <w:hyperlink r:id="rId107" w:tgtFrame="_blank" w:history="1">
        <w:r w:rsidR="000A55C4">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0A55C4" w:rsidRDefault="004A628B" w:rsidP="004A628B">
      <w:pPr>
        <w:rPr>
          <w:lang w:val="en-GB"/>
        </w:rPr>
      </w:pPr>
    </w:p>
    <w:p w14:paraId="312E6F31" w14:textId="77777777" w:rsidR="00BD08D3" w:rsidRDefault="00BD08D3" w:rsidP="00BD08D3">
      <w:pPr>
        <w:rPr>
          <w:lang w:val="en-US"/>
        </w:rPr>
      </w:pPr>
      <w:r>
        <w:rPr>
          <w:lang w:val="en-US"/>
        </w:rPr>
        <w:t>Private Office procedure on human rights defenders interacting with the Council of Europe</w:t>
      </w:r>
    </w:p>
    <w:p w14:paraId="5D6C6B03" w14:textId="77777777" w:rsidR="00BD08D3" w:rsidRDefault="003E00FF" w:rsidP="00BD08D3">
      <w:pPr>
        <w:rPr>
          <w:rStyle w:val="Hyperlink"/>
          <w:rFonts w:asciiTheme="majorHAnsi" w:hAnsiTheme="majorHAnsi" w:cstheme="majorHAnsi"/>
          <w:lang w:val="en-GB"/>
        </w:rPr>
      </w:pPr>
      <w:hyperlink r:id="rId108" w:history="1">
        <w:r w:rsidR="00BD08D3">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D82604">
      <w:footerReference w:type="default" r:id="rId10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1694" w14:textId="77777777" w:rsidR="003E00FF" w:rsidRDefault="003E00FF" w:rsidP="00857FF1">
      <w:r>
        <w:separator/>
      </w:r>
    </w:p>
  </w:endnote>
  <w:endnote w:type="continuationSeparator" w:id="0">
    <w:p w14:paraId="0763EBAD" w14:textId="77777777" w:rsidR="003E00FF" w:rsidRDefault="003E00FF"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673527"/>
      <w:docPartObj>
        <w:docPartGallery w:val="Page Numbers (Bottom of Page)"/>
        <w:docPartUnique/>
      </w:docPartObj>
    </w:sdtPr>
    <w:sdtEndPr/>
    <w:sdtContent>
      <w:p w14:paraId="144A61D8" w14:textId="625B889C" w:rsidR="00D82604" w:rsidRDefault="00D82604">
        <w:pPr>
          <w:pStyle w:val="Footer"/>
          <w:jc w:val="right"/>
        </w:pPr>
        <w:r w:rsidRPr="00D82604">
          <w:rPr>
            <w:sz w:val="16"/>
            <w:szCs w:val="16"/>
          </w:rPr>
          <w:fldChar w:fldCharType="begin"/>
        </w:r>
        <w:r w:rsidRPr="00D82604">
          <w:rPr>
            <w:sz w:val="16"/>
            <w:szCs w:val="16"/>
          </w:rPr>
          <w:instrText>PAGE   \* MERGEFORMAT</w:instrText>
        </w:r>
        <w:r w:rsidRPr="00D82604">
          <w:rPr>
            <w:sz w:val="16"/>
            <w:szCs w:val="16"/>
          </w:rPr>
          <w:fldChar w:fldCharType="separate"/>
        </w:r>
        <w:r w:rsidRPr="00D82604">
          <w:rPr>
            <w:sz w:val="16"/>
            <w:szCs w:val="16"/>
          </w:rPr>
          <w:t>2</w:t>
        </w:r>
        <w:r w:rsidRPr="00D82604">
          <w:rPr>
            <w:sz w:val="16"/>
            <w:szCs w:val="16"/>
          </w:rPr>
          <w:fldChar w:fldCharType="end"/>
        </w:r>
      </w:p>
    </w:sdtContent>
  </w:sdt>
  <w:p w14:paraId="3E9F0107" w14:textId="77777777" w:rsidR="00D82604" w:rsidRDefault="00D82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61CF" w14:textId="77777777" w:rsidR="003E00FF" w:rsidRDefault="003E00FF" w:rsidP="00857FF1">
      <w:r>
        <w:separator/>
      </w:r>
    </w:p>
  </w:footnote>
  <w:footnote w:type="continuationSeparator" w:id="0">
    <w:p w14:paraId="44ED4604" w14:textId="77777777" w:rsidR="003E00FF" w:rsidRDefault="003E00FF"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A5A"/>
    <w:multiLevelType w:val="hybridMultilevel"/>
    <w:tmpl w:val="B3206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1B18"/>
    <w:rsid w:val="00034A43"/>
    <w:rsid w:val="000634B7"/>
    <w:rsid w:val="00090437"/>
    <w:rsid w:val="000A39DA"/>
    <w:rsid w:val="000A55C4"/>
    <w:rsid w:val="000C0F1F"/>
    <w:rsid w:val="000D09ED"/>
    <w:rsid w:val="000D4782"/>
    <w:rsid w:val="000E51C1"/>
    <w:rsid w:val="00120135"/>
    <w:rsid w:val="001257E8"/>
    <w:rsid w:val="00130907"/>
    <w:rsid w:val="00172847"/>
    <w:rsid w:val="001A0B36"/>
    <w:rsid w:val="001A23FF"/>
    <w:rsid w:val="001A4E0D"/>
    <w:rsid w:val="001D0AE0"/>
    <w:rsid w:val="001D3360"/>
    <w:rsid w:val="002027E7"/>
    <w:rsid w:val="00263FD9"/>
    <w:rsid w:val="00282225"/>
    <w:rsid w:val="002A3826"/>
    <w:rsid w:val="002A3EE2"/>
    <w:rsid w:val="002B2FF2"/>
    <w:rsid w:val="002C4508"/>
    <w:rsid w:val="0032439E"/>
    <w:rsid w:val="00371321"/>
    <w:rsid w:val="00372B8F"/>
    <w:rsid w:val="003E00FF"/>
    <w:rsid w:val="003E2616"/>
    <w:rsid w:val="003F0C2C"/>
    <w:rsid w:val="004152F1"/>
    <w:rsid w:val="00452AF8"/>
    <w:rsid w:val="00456B30"/>
    <w:rsid w:val="0046136B"/>
    <w:rsid w:val="004A628B"/>
    <w:rsid w:val="004D6381"/>
    <w:rsid w:val="004E1F91"/>
    <w:rsid w:val="004F243E"/>
    <w:rsid w:val="005354EE"/>
    <w:rsid w:val="005463B8"/>
    <w:rsid w:val="0054659B"/>
    <w:rsid w:val="005632A5"/>
    <w:rsid w:val="0057123C"/>
    <w:rsid w:val="005728A3"/>
    <w:rsid w:val="005D7A5D"/>
    <w:rsid w:val="005E18DC"/>
    <w:rsid w:val="005F0E0E"/>
    <w:rsid w:val="00601F7A"/>
    <w:rsid w:val="0061659B"/>
    <w:rsid w:val="0065032A"/>
    <w:rsid w:val="00680789"/>
    <w:rsid w:val="00686249"/>
    <w:rsid w:val="006866E2"/>
    <w:rsid w:val="006A3C64"/>
    <w:rsid w:val="006B6601"/>
    <w:rsid w:val="006C4991"/>
    <w:rsid w:val="006D3771"/>
    <w:rsid w:val="006E74AE"/>
    <w:rsid w:val="00726BD7"/>
    <w:rsid w:val="00734D8B"/>
    <w:rsid w:val="00742FA8"/>
    <w:rsid w:val="00754B40"/>
    <w:rsid w:val="00776669"/>
    <w:rsid w:val="00784ACB"/>
    <w:rsid w:val="00785662"/>
    <w:rsid w:val="007959C1"/>
    <w:rsid w:val="007C7012"/>
    <w:rsid w:val="007D198D"/>
    <w:rsid w:val="00840B52"/>
    <w:rsid w:val="00857FF1"/>
    <w:rsid w:val="00864793"/>
    <w:rsid w:val="00893504"/>
    <w:rsid w:val="008B51AE"/>
    <w:rsid w:val="00906B87"/>
    <w:rsid w:val="009369F3"/>
    <w:rsid w:val="00976132"/>
    <w:rsid w:val="009A055B"/>
    <w:rsid w:val="009D0A73"/>
    <w:rsid w:val="009D68A7"/>
    <w:rsid w:val="009E7CFA"/>
    <w:rsid w:val="00A35E08"/>
    <w:rsid w:val="00A52988"/>
    <w:rsid w:val="00A54D19"/>
    <w:rsid w:val="00AA7781"/>
    <w:rsid w:val="00AC72B8"/>
    <w:rsid w:val="00AD1CC8"/>
    <w:rsid w:val="00AD35C8"/>
    <w:rsid w:val="00AE355A"/>
    <w:rsid w:val="00AF3955"/>
    <w:rsid w:val="00B67BC5"/>
    <w:rsid w:val="00B807B6"/>
    <w:rsid w:val="00BD08D3"/>
    <w:rsid w:val="00BE46F0"/>
    <w:rsid w:val="00BF1656"/>
    <w:rsid w:val="00C427B6"/>
    <w:rsid w:val="00C43C27"/>
    <w:rsid w:val="00C45527"/>
    <w:rsid w:val="00C57BE4"/>
    <w:rsid w:val="00C6040A"/>
    <w:rsid w:val="00C75135"/>
    <w:rsid w:val="00C86F4B"/>
    <w:rsid w:val="00C9300E"/>
    <w:rsid w:val="00CF10CE"/>
    <w:rsid w:val="00CF1C6F"/>
    <w:rsid w:val="00D042B1"/>
    <w:rsid w:val="00D244F7"/>
    <w:rsid w:val="00D42C1D"/>
    <w:rsid w:val="00D74DEB"/>
    <w:rsid w:val="00D82604"/>
    <w:rsid w:val="00D948B2"/>
    <w:rsid w:val="00DC7320"/>
    <w:rsid w:val="00E966BF"/>
    <w:rsid w:val="00EF1D14"/>
    <w:rsid w:val="00F06EAD"/>
    <w:rsid w:val="00F3151D"/>
    <w:rsid w:val="00F54516"/>
    <w:rsid w:val="00F80B1E"/>
    <w:rsid w:val="00FC35C5"/>
    <w:rsid w:val="00FD20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C6F"/>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6C4991"/>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character" w:customStyle="1" w:styleId="docref">
    <w:name w:val="docref"/>
    <w:basedOn w:val="DefaultParagraphFont"/>
    <w:rsid w:val="00976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5597">
      <w:bodyDiv w:val="1"/>
      <w:marLeft w:val="0"/>
      <w:marRight w:val="0"/>
      <w:marTop w:val="0"/>
      <w:marBottom w:val="0"/>
      <w:divBdr>
        <w:top w:val="none" w:sz="0" w:space="0" w:color="auto"/>
        <w:left w:val="none" w:sz="0" w:space="0" w:color="auto"/>
        <w:bottom w:val="none" w:sz="0" w:space="0" w:color="auto"/>
        <w:right w:val="none" w:sz="0" w:space="0" w:color="auto"/>
      </w:divBdr>
    </w:div>
    <w:div w:id="196159724">
      <w:bodyDiv w:val="1"/>
      <w:marLeft w:val="0"/>
      <w:marRight w:val="0"/>
      <w:marTop w:val="0"/>
      <w:marBottom w:val="0"/>
      <w:divBdr>
        <w:top w:val="none" w:sz="0" w:space="0" w:color="auto"/>
        <w:left w:val="none" w:sz="0" w:space="0" w:color="auto"/>
        <w:bottom w:val="none" w:sz="0" w:space="0" w:color="auto"/>
        <w:right w:val="none" w:sz="0" w:space="0" w:color="auto"/>
      </w:divBdr>
    </w:div>
    <w:div w:id="947006783">
      <w:bodyDiv w:val="1"/>
      <w:marLeft w:val="0"/>
      <w:marRight w:val="0"/>
      <w:marTop w:val="0"/>
      <w:marBottom w:val="0"/>
      <w:divBdr>
        <w:top w:val="none" w:sz="0" w:space="0" w:color="auto"/>
        <w:left w:val="none" w:sz="0" w:space="0" w:color="auto"/>
        <w:bottom w:val="none" w:sz="0" w:space="0" w:color="auto"/>
        <w:right w:val="none" w:sz="0" w:space="0" w:color="auto"/>
      </w:divBdr>
    </w:div>
    <w:div w:id="1091118784">
      <w:bodyDiv w:val="1"/>
      <w:marLeft w:val="0"/>
      <w:marRight w:val="0"/>
      <w:marTop w:val="0"/>
      <w:marBottom w:val="0"/>
      <w:divBdr>
        <w:top w:val="none" w:sz="0" w:space="0" w:color="auto"/>
        <w:left w:val="none" w:sz="0" w:space="0" w:color="auto"/>
        <w:bottom w:val="none" w:sz="0" w:space="0" w:color="auto"/>
        <w:right w:val="none" w:sz="0" w:space="0" w:color="auto"/>
      </w:divBdr>
    </w:div>
    <w:div w:id="1118990598">
      <w:bodyDiv w:val="1"/>
      <w:marLeft w:val="0"/>
      <w:marRight w:val="0"/>
      <w:marTop w:val="0"/>
      <w:marBottom w:val="0"/>
      <w:divBdr>
        <w:top w:val="none" w:sz="0" w:space="0" w:color="auto"/>
        <w:left w:val="none" w:sz="0" w:space="0" w:color="auto"/>
        <w:bottom w:val="none" w:sz="0" w:space="0" w:color="auto"/>
        <w:right w:val="none" w:sz="0" w:space="0" w:color="auto"/>
      </w:divBdr>
    </w:div>
    <w:div w:id="1148863584">
      <w:bodyDiv w:val="1"/>
      <w:marLeft w:val="0"/>
      <w:marRight w:val="0"/>
      <w:marTop w:val="0"/>
      <w:marBottom w:val="0"/>
      <w:divBdr>
        <w:top w:val="none" w:sz="0" w:space="0" w:color="auto"/>
        <w:left w:val="none" w:sz="0" w:space="0" w:color="auto"/>
        <w:bottom w:val="none" w:sz="0" w:space="0" w:color="auto"/>
        <w:right w:val="none" w:sz="0" w:space="0" w:color="auto"/>
      </w:divBdr>
    </w:div>
    <w:div w:id="1239553739">
      <w:bodyDiv w:val="1"/>
      <w:marLeft w:val="0"/>
      <w:marRight w:val="0"/>
      <w:marTop w:val="0"/>
      <w:marBottom w:val="0"/>
      <w:divBdr>
        <w:top w:val="none" w:sz="0" w:space="0" w:color="auto"/>
        <w:left w:val="none" w:sz="0" w:space="0" w:color="auto"/>
        <w:bottom w:val="none" w:sz="0" w:space="0" w:color="auto"/>
        <w:right w:val="none" w:sz="0" w:space="0" w:color="auto"/>
      </w:divBdr>
    </w:div>
    <w:div w:id="1260798627">
      <w:bodyDiv w:val="1"/>
      <w:marLeft w:val="0"/>
      <w:marRight w:val="0"/>
      <w:marTop w:val="0"/>
      <w:marBottom w:val="0"/>
      <w:divBdr>
        <w:top w:val="none" w:sz="0" w:space="0" w:color="auto"/>
        <w:left w:val="none" w:sz="0" w:space="0" w:color="auto"/>
        <w:bottom w:val="none" w:sz="0" w:space="0" w:color="auto"/>
        <w:right w:val="none" w:sz="0" w:space="0" w:color="auto"/>
      </w:divBdr>
    </w:div>
    <w:div w:id="1271014949">
      <w:bodyDiv w:val="1"/>
      <w:marLeft w:val="0"/>
      <w:marRight w:val="0"/>
      <w:marTop w:val="0"/>
      <w:marBottom w:val="0"/>
      <w:divBdr>
        <w:top w:val="none" w:sz="0" w:space="0" w:color="auto"/>
        <w:left w:val="none" w:sz="0" w:space="0" w:color="auto"/>
        <w:bottom w:val="none" w:sz="0" w:space="0" w:color="auto"/>
        <w:right w:val="none" w:sz="0" w:space="0" w:color="auto"/>
      </w:divBdr>
    </w:div>
    <w:div w:id="1282149634">
      <w:bodyDiv w:val="1"/>
      <w:marLeft w:val="0"/>
      <w:marRight w:val="0"/>
      <w:marTop w:val="0"/>
      <w:marBottom w:val="0"/>
      <w:divBdr>
        <w:top w:val="none" w:sz="0" w:space="0" w:color="auto"/>
        <w:left w:val="none" w:sz="0" w:space="0" w:color="auto"/>
        <w:bottom w:val="none" w:sz="0" w:space="0" w:color="auto"/>
        <w:right w:val="none" w:sz="0" w:space="0" w:color="auto"/>
      </w:divBdr>
    </w:div>
    <w:div w:id="1422675000">
      <w:bodyDiv w:val="1"/>
      <w:marLeft w:val="0"/>
      <w:marRight w:val="0"/>
      <w:marTop w:val="0"/>
      <w:marBottom w:val="0"/>
      <w:divBdr>
        <w:top w:val="none" w:sz="0" w:space="0" w:color="auto"/>
        <w:left w:val="none" w:sz="0" w:space="0" w:color="auto"/>
        <w:bottom w:val="none" w:sz="0" w:space="0" w:color="auto"/>
        <w:right w:val="none" w:sz="0" w:space="0" w:color="auto"/>
      </w:divBdr>
    </w:div>
    <w:div w:id="1498107728">
      <w:bodyDiv w:val="1"/>
      <w:marLeft w:val="0"/>
      <w:marRight w:val="0"/>
      <w:marTop w:val="0"/>
      <w:marBottom w:val="0"/>
      <w:divBdr>
        <w:top w:val="none" w:sz="0" w:space="0" w:color="auto"/>
        <w:left w:val="none" w:sz="0" w:space="0" w:color="auto"/>
        <w:bottom w:val="none" w:sz="0" w:space="0" w:color="auto"/>
        <w:right w:val="none" w:sz="0" w:space="0" w:color="auto"/>
      </w:divBdr>
    </w:div>
    <w:div w:id="1690335349">
      <w:bodyDiv w:val="1"/>
      <w:marLeft w:val="0"/>
      <w:marRight w:val="0"/>
      <w:marTop w:val="0"/>
      <w:marBottom w:val="0"/>
      <w:divBdr>
        <w:top w:val="none" w:sz="0" w:space="0" w:color="auto"/>
        <w:left w:val="none" w:sz="0" w:space="0" w:color="auto"/>
        <w:bottom w:val="none" w:sz="0" w:space="0" w:color="auto"/>
        <w:right w:val="none" w:sz="0" w:space="0" w:color="auto"/>
      </w:divBdr>
    </w:div>
    <w:div w:id="1736080682">
      <w:bodyDiv w:val="1"/>
      <w:marLeft w:val="0"/>
      <w:marRight w:val="0"/>
      <w:marTop w:val="0"/>
      <w:marBottom w:val="0"/>
      <w:divBdr>
        <w:top w:val="none" w:sz="0" w:space="0" w:color="auto"/>
        <w:left w:val="none" w:sz="0" w:space="0" w:color="auto"/>
        <w:bottom w:val="none" w:sz="0" w:space="0" w:color="auto"/>
        <w:right w:val="none" w:sz="0" w:space="0" w:color="auto"/>
      </w:divBdr>
    </w:div>
    <w:div w:id="1786776171">
      <w:bodyDiv w:val="1"/>
      <w:marLeft w:val="0"/>
      <w:marRight w:val="0"/>
      <w:marTop w:val="0"/>
      <w:marBottom w:val="0"/>
      <w:divBdr>
        <w:top w:val="none" w:sz="0" w:space="0" w:color="auto"/>
        <w:left w:val="none" w:sz="0" w:space="0" w:color="auto"/>
        <w:bottom w:val="none" w:sz="0" w:space="0" w:color="auto"/>
        <w:right w:val="none" w:sz="0" w:space="0" w:color="auto"/>
      </w:divBdr>
    </w:div>
    <w:div w:id="1818255853">
      <w:bodyDiv w:val="1"/>
      <w:marLeft w:val="0"/>
      <w:marRight w:val="0"/>
      <w:marTop w:val="0"/>
      <w:marBottom w:val="0"/>
      <w:divBdr>
        <w:top w:val="none" w:sz="0" w:space="0" w:color="auto"/>
        <w:left w:val="none" w:sz="0" w:space="0" w:color="auto"/>
        <w:bottom w:val="none" w:sz="0" w:space="0" w:color="auto"/>
        <w:right w:val="none" w:sz="0" w:space="0" w:color="auto"/>
      </w:divBdr>
    </w:div>
    <w:div w:id="1850900405">
      <w:bodyDiv w:val="1"/>
      <w:marLeft w:val="0"/>
      <w:marRight w:val="0"/>
      <w:marTop w:val="0"/>
      <w:marBottom w:val="0"/>
      <w:divBdr>
        <w:top w:val="none" w:sz="0" w:space="0" w:color="auto"/>
        <w:left w:val="none" w:sz="0" w:space="0" w:color="auto"/>
        <w:bottom w:val="none" w:sz="0" w:space="0" w:color="auto"/>
        <w:right w:val="none" w:sz="0" w:space="0" w:color="auto"/>
      </w:divBdr>
    </w:div>
    <w:div w:id="1871337979">
      <w:bodyDiv w:val="1"/>
      <w:marLeft w:val="0"/>
      <w:marRight w:val="0"/>
      <w:marTop w:val="0"/>
      <w:marBottom w:val="0"/>
      <w:divBdr>
        <w:top w:val="none" w:sz="0" w:space="0" w:color="auto"/>
        <w:left w:val="none" w:sz="0" w:space="0" w:color="auto"/>
        <w:bottom w:val="none" w:sz="0" w:space="0" w:color="auto"/>
        <w:right w:val="none" w:sz="0" w:space="0" w:color="auto"/>
      </w:divBdr>
    </w:div>
    <w:div w:id="1950120262">
      <w:bodyDiv w:val="1"/>
      <w:marLeft w:val="0"/>
      <w:marRight w:val="0"/>
      <w:marTop w:val="0"/>
      <w:marBottom w:val="0"/>
      <w:divBdr>
        <w:top w:val="none" w:sz="0" w:space="0" w:color="auto"/>
        <w:left w:val="none" w:sz="0" w:space="0" w:color="auto"/>
        <w:bottom w:val="none" w:sz="0" w:space="0" w:color="auto"/>
        <w:right w:val="none" w:sz="0" w:space="0" w:color="auto"/>
      </w:divBdr>
    </w:div>
    <w:div w:id="2066680427">
      <w:bodyDiv w:val="1"/>
      <w:marLeft w:val="0"/>
      <w:marRight w:val="0"/>
      <w:marTop w:val="0"/>
      <w:marBottom w:val="0"/>
      <w:divBdr>
        <w:top w:val="none" w:sz="0" w:space="0" w:color="auto"/>
        <w:left w:val="none" w:sz="0" w:space="0" w:color="auto"/>
        <w:bottom w:val="none" w:sz="0" w:space="0" w:color="auto"/>
        <w:right w:val="none" w:sz="0" w:space="0" w:color="auto"/>
      </w:divBdr>
    </w:div>
    <w:div w:id="207592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a06389" TargetMode="External"/><Relationship Id="rId21" Type="http://schemas.openxmlformats.org/officeDocument/2006/relationships/hyperlink" Target="https://www.venice.coe.int/webforms/documents/?pdf=CDL-AD(2021)043-e" TargetMode="External"/><Relationship Id="rId42" Type="http://schemas.openxmlformats.org/officeDocument/2006/relationships/hyperlink" Target="https://rm.coe.int/fourth-evaluation-round-corruption-prevention-in-respect-of-members-of/1680a06389" TargetMode="External"/><Relationship Id="rId47" Type="http://schemas.openxmlformats.org/officeDocument/2006/relationships/hyperlink" Target="https://rm.coe.int/guidelines-of-the-committee-of-ministers-of-the-council-of-europe-on-t/1680a39918" TargetMode="External"/><Relationship Id="rId63" Type="http://schemas.openxmlformats.org/officeDocument/2006/relationships/hyperlink" Target="https://public.tableau.com/profile/cepej" TargetMode="External"/><Relationship Id="rId68" Type="http://schemas.openxmlformats.org/officeDocument/2006/relationships/hyperlink" Target="https://www.coe.int/fr/web/cepej/country-profiles/cyprus" TargetMode="External"/><Relationship Id="rId84" Type="http://schemas.openxmlformats.org/officeDocument/2006/relationships/hyperlink" Target="https://rm.coe.int/fourth-evaluation-round-corruption-prevention-in-respect-of-members-of/1680a06389" TargetMode="External"/><Relationship Id="rId89" Type="http://schemas.openxmlformats.org/officeDocument/2006/relationships/hyperlink" Target="https://search.coe.int/cm/Pages/result_details.aspx?ObjectId=0900001680790e13" TargetMode="External"/><Relationship Id="rId2" Type="http://schemas.openxmlformats.org/officeDocument/2006/relationships/numbering" Target="numbering.xml"/><Relationship Id="rId16" Type="http://schemas.openxmlformats.org/officeDocument/2006/relationships/hyperlink" Target="https://www.coe.int/en/web/cepej/dynamic-database-of-european-judicial-systems" TargetMode="External"/><Relationship Id="rId29" Type="http://schemas.openxmlformats.org/officeDocument/2006/relationships/hyperlink" Target="http://hudoc.exec.coe.int/ENG?i=004-55839" TargetMode="External"/><Relationship Id="rId107" Type="http://schemas.openxmlformats.org/officeDocument/2006/relationships/hyperlink" Target="https://rm.coe.int/expert-council-conf-exp-2019-1-criminal-law-ngo-restrictions-migration/1680996969" TargetMode="External"/><Relationship Id="rId11" Type="http://schemas.openxmlformats.org/officeDocument/2006/relationships/hyperlink" Target="https://www.venice.coe.int/webforms/documents/?pdf=CDL-AD(2021)043-e" TargetMode="External"/><Relationship Id="rId24" Type="http://schemas.openxmlformats.org/officeDocument/2006/relationships/hyperlink" Target="https://rm.coe.int/fourth-evaluation-round-corruption-prevention-in-respect-of-members-of/1680a06389" TargetMode="External"/><Relationship Id="rId32" Type="http://schemas.openxmlformats.org/officeDocument/2006/relationships/hyperlink" Target="http://hudoc.exec.coe.int/ENG?i=004-55839" TargetMode="External"/><Relationship Id="rId37" Type="http://schemas.openxmlformats.org/officeDocument/2006/relationships/hyperlink" Target="https://www.coe.int/en/web/greco/evaluations/cyprus" TargetMode="External"/><Relationship Id="rId40" Type="http://schemas.openxmlformats.org/officeDocument/2006/relationships/hyperlink" Target="https://rm.coe.int/fourth-evaluation-round-corruption-prevention-in-respect-of-members-of/1680a06389" TargetMode="External"/><Relationship Id="rId45" Type="http://schemas.openxmlformats.org/officeDocument/2006/relationships/hyperlink" Target="https://rm.coe.int/publication-guidelines-and-explanatory-memoreandum-odr-mechanisms-in-c/1680a4214e" TargetMode="External"/><Relationship Id="rId53" Type="http://schemas.openxmlformats.org/officeDocument/2006/relationships/hyperlink" Target="https://rm.coe.int/opinion-no-16-2021-en/1680a4bd26" TargetMode="External"/><Relationship Id="rId58" Type="http://schemas.openxmlformats.org/officeDocument/2006/relationships/hyperlink" Target="https://rm.coe.int/opinion-no-15-ccpe-en/1680a05a1b" TargetMode="External"/><Relationship Id="rId66" Type="http://schemas.openxmlformats.org/officeDocument/2006/relationships/hyperlink" Target="https://www.coe.int/en/web/cepej/dynamic-database-of-european-judicial-systems" TargetMode="External"/><Relationship Id="rId74" Type="http://schemas.openxmlformats.org/officeDocument/2006/relationships/hyperlink" Target="https://rm.coe.int/fourth-evaluation-round-corruption-prevention-in-respect-of-members-of/1680a06389" TargetMode="External"/><Relationship Id="rId79" Type="http://schemas.openxmlformats.org/officeDocument/2006/relationships/hyperlink" Target="https://rm.coe.int/fourth-evaluation-round-corruption-prevention-in-respect-of-members-of/1680a06389" TargetMode="External"/><Relationship Id="rId87" Type="http://schemas.openxmlformats.org/officeDocument/2006/relationships/hyperlink" Target="https://www.coe.int/en/web/commissioner/-/cypriot-authorities-should-investigate-allegations-of-pushbacks-and-ill-treatment-of-migrants-improve-reception-conditions-and-ensure-an-enabling-envi" TargetMode="External"/><Relationship Id="rId102" Type="http://schemas.openxmlformats.org/officeDocument/2006/relationships/hyperlink" Target="https://search.coe.int/cm/Pages/result_details.aspx?ObjectId=0900001680646af8"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rm.coe.int/16807bf7b4" TargetMode="External"/><Relationship Id="rId82" Type="http://schemas.openxmlformats.org/officeDocument/2006/relationships/hyperlink" Target="https://rm.coe.int/corruption-risks-and-useful-legal-references-in-the-context-of-covid-1/16809e33e1" TargetMode="External"/><Relationship Id="rId90" Type="http://schemas.openxmlformats.org/officeDocument/2006/relationships/hyperlink" Target="https://pace.coe.int/en/members/8036" TargetMode="External"/><Relationship Id="rId95" Type="http://schemas.openxmlformats.org/officeDocument/2006/relationships/hyperlink" Target="https://www.coe.int/en/web/commissioner/-/cypriot-authorities-should-investigate-allegations-of-pushbacks-and-ill-treatment-of-migrants-improve-reception-conditions-and-ensure-an-enabling-envi" TargetMode="External"/><Relationship Id="rId19" Type="http://schemas.openxmlformats.org/officeDocument/2006/relationships/hyperlink" Target="https://www.coe.int/en/web/greco/evaluations/cyprus" TargetMode="External"/><Relationship Id="rId14" Type="http://schemas.openxmlformats.org/officeDocument/2006/relationships/hyperlink" Target="https://www.coe.int/en/web/cepej/country-profiles/cyprus" TargetMode="External"/><Relationship Id="rId22" Type="http://schemas.openxmlformats.org/officeDocument/2006/relationships/hyperlink" Target="http://hudoc.exec.coe.int/ENG?i=004-48823" TargetMode="External"/><Relationship Id="rId27" Type="http://schemas.openxmlformats.org/officeDocument/2006/relationships/hyperlink" Target="https://www.coe.int/en/web/greco/evaluations/cyprus" TargetMode="External"/><Relationship Id="rId30" Type="http://schemas.openxmlformats.org/officeDocument/2006/relationships/hyperlink" Target="https://hudoc.exec.coe.int/FRE" TargetMode="External"/><Relationship Id="rId35" Type="http://schemas.openxmlformats.org/officeDocument/2006/relationships/hyperlink" Target="https://www.venice.coe.int/webforms/documents/?pdf=CDL-AD(2021)043-e" TargetMode="External"/><Relationship Id="rId43" Type="http://schemas.openxmlformats.org/officeDocument/2006/relationships/hyperlink" Target="https://www.coe.int/en/web/greco/evaluations/cyprus" TargetMode="External"/><Relationship Id="rId48" Type="http://schemas.openxmlformats.org/officeDocument/2006/relationships/hyperlink" Target="https://rm.coe.int/eng-examen-de-faisabilite-d-un-instrument-juridque-europeen-couv-texte/1680a22790" TargetMode="External"/><Relationship Id="rId56" Type="http://schemas.openxmlformats.org/officeDocument/2006/relationships/hyperlink" Target="https://rm.coe.int/ccje-2020-2-statement-of-the-ccje-president-3-lessons-and-challenges-c/16809ed060" TargetMode="External"/><Relationship Id="rId64" Type="http://schemas.openxmlformats.org/officeDocument/2006/relationships/hyperlink" Target="https://www.coe.int/en/web/cepej/country-profiles/cyprus" TargetMode="External"/><Relationship Id="rId69" Type="http://schemas.openxmlformats.org/officeDocument/2006/relationships/hyperlink" Target="https://rm.coe.int/cepej-country-fiche-scoreboard-cyprus/1680a19ef7" TargetMode="External"/><Relationship Id="rId77" Type="http://schemas.openxmlformats.org/officeDocument/2006/relationships/hyperlink" Target="https://rm.coe.int/1680709743" TargetMode="External"/><Relationship Id="rId100" Type="http://schemas.openxmlformats.org/officeDocument/2006/relationships/hyperlink" Target="https://rm.coe.int/state-of-democracy-human-rights-and-the-rule-of-law-role-of-institutio/168086c0c5" TargetMode="External"/><Relationship Id="rId105" Type="http://schemas.openxmlformats.org/officeDocument/2006/relationships/hyperlink" Target="https://www.coe.int/en/web/commissioner/-/let-us-make-europe-a-safe-place-for-environmental-human-rights-defenders" TargetMode="External"/><Relationship Id="rId8" Type="http://schemas.openxmlformats.org/officeDocument/2006/relationships/image" Target="media/image1.png"/><Relationship Id="rId51" Type="http://schemas.openxmlformats.org/officeDocument/2006/relationships/hyperlink" Target="https://rm.coe.int/opinion-no-24-2021-of-the-ccje/1680a47604" TargetMode="External"/><Relationship Id="rId72" Type="http://schemas.openxmlformats.org/officeDocument/2006/relationships/hyperlink" Target="https://rm.coe.int/evaluation-report-part-1-english/16809fc058" TargetMode="External"/><Relationship Id="rId80" Type="http://schemas.openxmlformats.org/officeDocument/2006/relationships/hyperlink" Target="https://www.coe.int/en/web/commissioner/-/corruption-undermines-human-rights-and-the-rule-of-law" TargetMode="External"/><Relationship Id="rId85" Type="http://schemas.openxmlformats.org/officeDocument/2006/relationships/hyperlink" Target="https://www.coe.int/en/web/greco/evaluations/cyprus" TargetMode="External"/><Relationship Id="rId93" Type="http://schemas.openxmlformats.org/officeDocument/2006/relationships/hyperlink" Target="https://search.coe.int/cm/Pages/result_details.aspx?ObjectId=09000016806415d9" TargetMode="External"/><Relationship Id="rId98" Type="http://schemas.openxmlformats.org/officeDocument/2006/relationships/hyperlink" Target="https://www.coe.int/en/web/commissioner/-/tapping-the-full-potential-of-equality-bodies-for-a-fairer-europe" TargetMode="External"/><Relationship Id="rId3" Type="http://schemas.openxmlformats.org/officeDocument/2006/relationships/styles" Target="styles.xml"/><Relationship Id="rId12" Type="http://schemas.openxmlformats.org/officeDocument/2006/relationships/hyperlink" Target="https://rm.coe.int/cepej-country-fiche-scoreboard-cyprus/1680a19ef7" TargetMode="External"/><Relationship Id="rId17" Type="http://schemas.openxmlformats.org/officeDocument/2006/relationships/hyperlink" Target="https://www.venice.coe.int/webforms/documents/?pdf=CDL-AD(2021)043-e" TargetMode="External"/><Relationship Id="rId25" Type="http://schemas.openxmlformats.org/officeDocument/2006/relationships/hyperlink" Target="https://www.coe.int/en/web/greco/evaluations/cyprus" TargetMode="External"/><Relationship Id="rId33" Type="http://schemas.openxmlformats.org/officeDocument/2006/relationships/hyperlink" Target="https://rm.coe.int/fourth-evaluation-round-corruption-prevention-in-respect-of-members-of/1680a06389" TargetMode="External"/><Relationship Id="rId38" Type="http://schemas.openxmlformats.org/officeDocument/2006/relationships/hyperlink" Target="https://rm.coe.int/fourth-evaluation-round-corruption-prevention-in-respect-of-members-of/1680a06389" TargetMode="External"/><Relationship Id="rId46" Type="http://schemas.openxmlformats.org/officeDocument/2006/relationships/hyperlink" Target="https://rm.coe.int/guidelines-of-the-committee-of-ministers-of-the-council-of-europe-on-t/1680a39918" TargetMode="External"/><Relationship Id="rId59" Type="http://schemas.openxmlformats.org/officeDocument/2006/relationships/hyperlink" Target="https://www.coe.int/en/web/greco/-/international-anti-corruption-day-2021" TargetMode="External"/><Relationship Id="rId67" Type="http://schemas.openxmlformats.org/officeDocument/2006/relationships/hyperlink" Target="https://www.venice.coe.int/webforms/documents/?pdf=CDL-AD(2021)043-e" TargetMode="External"/><Relationship Id="rId103" Type="http://schemas.openxmlformats.org/officeDocument/2006/relationships/hyperlink" Target="https://search.coe.int/cm/Pages/result_details.aspx?ObjectID=090000168058e01e" TargetMode="External"/><Relationship Id="rId108"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20" Type="http://schemas.openxmlformats.org/officeDocument/2006/relationships/hyperlink" Target="http://hudoc.exec.coe.int/ENG?i=004-48823" TargetMode="External"/><Relationship Id="rId41" Type="http://schemas.openxmlformats.org/officeDocument/2006/relationships/hyperlink" Target="https://www.coe.int/en/web/greco/evaluations/cyprus" TargetMode="External"/><Relationship Id="rId54" Type="http://schemas.openxmlformats.org/officeDocument/2006/relationships/hyperlink" Target="https://pace.coe.int/en/members/6671" TargetMode="External"/><Relationship Id="rId62" Type="http://schemas.openxmlformats.org/officeDocument/2006/relationships/hyperlink" Target="https://rm.coe.int/cepej-country-fiche-scoreboard-cyprus/1680a19ef7" TargetMode="External"/><Relationship Id="rId70" Type="http://schemas.openxmlformats.org/officeDocument/2006/relationships/hyperlink" Target="https://public.tableau.com/profile/cepej" TargetMode="External"/><Relationship Id="rId75" Type="http://schemas.openxmlformats.org/officeDocument/2006/relationships/hyperlink" Target="https://www.coe.int/en/web/greco/evaluations/cyprus" TargetMode="External"/><Relationship Id="rId83" Type="http://schemas.openxmlformats.org/officeDocument/2006/relationships/hyperlink" Target="https://www.coe.int/en/web/greco/evaluations/cyprus" TargetMode="External"/><Relationship Id="rId88" Type="http://schemas.openxmlformats.org/officeDocument/2006/relationships/hyperlink" Target="https://www.coe.int/en/web/commissioner/-/time-to-take-action-against-slapps" TargetMode="External"/><Relationship Id="rId91" Type="http://schemas.openxmlformats.org/officeDocument/2006/relationships/hyperlink" Target="https://pace.coe.int/en/files/28679/html" TargetMode="External"/><Relationship Id="rId96" Type="http://schemas.openxmlformats.org/officeDocument/2006/relationships/hyperlink" Target="https://www.coe.int/en/web/commissioner/-/journalists-covering-public-assemblies-need-to-be-protected"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m.coe.int/evaluation-report-part-1-english/16809fc058" TargetMode="External"/><Relationship Id="rId23" Type="http://schemas.openxmlformats.org/officeDocument/2006/relationships/hyperlink" Target="https://hudoc.exec.coe.int/ENG" TargetMode="External"/><Relationship Id="rId28" Type="http://schemas.openxmlformats.org/officeDocument/2006/relationships/hyperlink" Target="http://hudoc.exec.coe.int/ENG?i=004-55839" TargetMode="External"/><Relationship Id="rId36" Type="http://schemas.openxmlformats.org/officeDocument/2006/relationships/hyperlink" Target="https://rm.coe.int/fourth-evaluation-round-corruption-prevention-in-respect-of-members-of/1680a06389" TargetMode="External"/><Relationship Id="rId49" Type="http://schemas.openxmlformats.org/officeDocument/2006/relationships/hyperlink" Target="http://rm.coe.int/eng-examen-de-faisabilite-d-un-instrument-juridque-europeen-couv-texte/1680a22790" TargetMode="External"/><Relationship Id="rId57" Type="http://schemas.openxmlformats.org/officeDocument/2006/relationships/hyperlink" Target="https://rm.coe.int/opinion-23-en-ccje-2020/1680a03d4b" TargetMode="External"/><Relationship Id="rId106" Type="http://schemas.openxmlformats.org/officeDocument/2006/relationships/hyperlink" Target="https://rm.coe.int/expert-council-conf-exp-2020-1-ngos-developments-in-standards-mechanis/16809ccd3a" TargetMode="External"/><Relationship Id="rId10" Type="http://schemas.openxmlformats.org/officeDocument/2006/relationships/hyperlink" Target="mailto:Muriel.decot@coe.int/christel.schurrer@coe.int" TargetMode="External"/><Relationship Id="rId31" Type="http://schemas.openxmlformats.org/officeDocument/2006/relationships/hyperlink" Target="http://hudoc.exec.coe.int/ENG?i=004-55839" TargetMode="External"/><Relationship Id="rId44" Type="http://schemas.openxmlformats.org/officeDocument/2006/relationships/hyperlink" Target="https://rm.coe.int/publication-guidelines-and-explanatory-memoreandum-odr-mechanisms-in-c/1680a4214e" TargetMode="External"/><Relationship Id="rId52" Type="http://schemas.openxmlformats.org/officeDocument/2006/relationships/hyperlink" Target="https://rm.coe.int/ccpe-opinions-no-1-no-16-gbr-couv-texte-bat-a4-web/1680a4dcc6" TargetMode="External"/><Relationship Id="rId60" Type="http://schemas.openxmlformats.org/officeDocument/2006/relationships/hyperlink" Target="https://www.coe.int/en/web/greco/-/9-december-2020-international-anti-corruption-day" TargetMode="External"/><Relationship Id="rId65" Type="http://schemas.openxmlformats.org/officeDocument/2006/relationships/hyperlink" Target="https://rm.coe.int/evaluation-report-part-1-english/16809fc058" TargetMode="External"/><Relationship Id="rId73" Type="http://schemas.openxmlformats.org/officeDocument/2006/relationships/hyperlink" Target="https://www.coe.int/en/web/cepej/dynamic-database-of-european-judicial-systems" TargetMode="External"/><Relationship Id="rId78" Type="http://schemas.openxmlformats.org/officeDocument/2006/relationships/hyperlink" Target="https://rm.coe.int/corruption-risks-and-useful-legal-references-in-the-context-of-covid-1/16809e33e1" TargetMode="External"/><Relationship Id="rId81" Type="http://schemas.openxmlformats.org/officeDocument/2006/relationships/hyperlink" Target="https://www.coe.int/en/web/greco/evaluations/cyprus" TargetMode="External"/><Relationship Id="rId86" Type="http://schemas.openxmlformats.org/officeDocument/2006/relationships/hyperlink" Target="https://search.coe.int/cm/Pages/result_details.aspx?ObjectId=09000016804e0322" TargetMode="External"/><Relationship Id="rId94" Type="http://schemas.openxmlformats.org/officeDocument/2006/relationships/hyperlink" Target="https://www.coe.int/en/web/commissioner/-/access-to-official-documents-is-crucial-let-s-make-it-a-reality" TargetMode="External"/><Relationship Id="rId99" Type="http://schemas.openxmlformats.org/officeDocument/2006/relationships/hyperlink" Target="https://www.coe.int/en/web/media-freedom/cyprus" TargetMode="External"/><Relationship Id="rId101" Type="http://schemas.openxmlformats.org/officeDocument/2006/relationships/hyperlink" Target="https://edoc.coe.int/en/an-overview/7345-pdf-state-of-democracy-human-rights-and-the-rule-of-law.html" TargetMode="External"/><Relationship Id="rId4" Type="http://schemas.openxmlformats.org/officeDocument/2006/relationships/settings" Target="settings.xml"/><Relationship Id="rId9" Type="http://schemas.openxmlformats.org/officeDocument/2006/relationships/hyperlink" Target="https://rm.coe.int/cyprus-country-fiche/1680a54ca6" TargetMode="External"/><Relationship Id="rId13" Type="http://schemas.openxmlformats.org/officeDocument/2006/relationships/hyperlink" Target="https://public.tableau.com/profile/cepej" TargetMode="External"/><Relationship Id="rId18" Type="http://schemas.openxmlformats.org/officeDocument/2006/relationships/hyperlink" Target="https://rm.coe.int/fourth-evaluation-round-corruption-prevention-in-respect-of-members-of/1680a06389" TargetMode="External"/><Relationship Id="rId39" Type="http://schemas.openxmlformats.org/officeDocument/2006/relationships/hyperlink" Target="https://www.coe.int/en/web/greco/evaluations/cyprus" TargetMode="External"/><Relationship Id="rId109" Type="http://schemas.openxmlformats.org/officeDocument/2006/relationships/footer" Target="footer1.xml"/><Relationship Id="rId34" Type="http://schemas.openxmlformats.org/officeDocument/2006/relationships/hyperlink" Target="https://www.coe.int/en/web/greco/evaluations/cyprus" TargetMode="External"/><Relationship Id="rId50" Type="http://schemas.openxmlformats.org/officeDocument/2006/relationships/hyperlink" Target="https://rm.coe.int/ccje-opinions-compilation-1-23-en-final/1680a40c2e" TargetMode="External"/><Relationship Id="rId55" Type="http://schemas.openxmlformats.org/officeDocument/2006/relationships/hyperlink" Target="https://pace.coe.int/en/files/28747/html" TargetMode="External"/><Relationship Id="rId76" Type="http://schemas.openxmlformats.org/officeDocument/2006/relationships/hyperlink" Target="https://www.venice.coe.int/webforms/documents/?pdf=CDL-AD(2021)043-e" TargetMode="External"/><Relationship Id="rId97" Type="http://schemas.openxmlformats.org/officeDocument/2006/relationships/hyperlink" Target="https://www.coe.int/en/web/commissioner/-/let-us-make-europe-a-safe-place-for-environmental-human-rights-defenders" TargetMode="External"/><Relationship Id="rId104" Type="http://schemas.openxmlformats.org/officeDocument/2006/relationships/hyperlink" Target="https://www.venice.coe.int/webforms/documents/?pdf=CDL-AD(2021)043-e" TargetMode="External"/><Relationship Id="rId7" Type="http://schemas.openxmlformats.org/officeDocument/2006/relationships/endnotes" Target="endnotes.xml"/><Relationship Id="rId71" Type="http://schemas.openxmlformats.org/officeDocument/2006/relationships/hyperlink" Target="https://www.coe.int/en/web/cepej/country-profiles/cyprus" TargetMode="External"/><Relationship Id="rId92" Type="http://schemas.openxmlformats.org/officeDocument/2006/relationships/hyperlink" Target="https://pace.coe.int/en/files/287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8519-6037-4A45-9505-4D770336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5908</Words>
  <Characters>32500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20</cp:revision>
  <dcterms:created xsi:type="dcterms:W3CDTF">2022-01-19T08:48:00Z</dcterms:created>
  <dcterms:modified xsi:type="dcterms:W3CDTF">2022-01-30T08:45:00Z</dcterms:modified>
</cp:coreProperties>
</file>